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jpeg" ContentType="image/jpeg"/>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uppressAutoHyphens w:val="false"/>
        <w:spacing w:lineRule="auto" w:line="240"/>
        <w:ind w:left="0" w:right="0" w:hanging="0"/>
        <w:jc w:val="center"/>
        <w:rPr>
          <w:rFonts w:ascii="Verdana" w:hAnsi="Verdana"/>
          <w:sz w:val="22"/>
          <w:szCs w:val="22"/>
        </w:rPr>
      </w:pPr>
      <w:r>
        <w:rPr>
          <w:rFonts w:ascii="Verdana" w:hAnsi="Verdana"/>
          <w:sz w:val="22"/>
          <w:szCs w:val="22"/>
        </w:rPr>
      </w:r>
    </w:p>
    <w:p>
      <w:pPr>
        <w:pStyle w:val="Normal"/>
        <w:suppressAutoHyphens w:val="false"/>
        <w:spacing w:lineRule="auto" w:line="240"/>
        <w:ind w:left="0" w:right="0" w:hanging="0"/>
        <w:jc w:val="center"/>
        <w:rPr/>
      </w:pPr>
      <w:r>
        <w:rPr>
          <w:rFonts w:ascii="Verdana" w:hAnsi="Verdana"/>
          <w:b/>
          <w:bCs/>
          <w:color w:val="000000"/>
          <w:sz w:val="22"/>
          <w:szCs w:val="22"/>
        </w:rPr>
        <w:t>TERMO DE REFERÊNCIA  - LEI 14.133/21</w:t>
      </w:r>
    </w:p>
    <w:p>
      <w:pPr>
        <w:pStyle w:val="Normal"/>
        <w:spacing w:lineRule="auto" w:line="240"/>
        <w:ind w:left="0" w:right="0" w:hanging="0"/>
        <w:jc w:val="center"/>
        <w:rPr>
          <w:rFonts w:ascii="Verdana" w:hAnsi="Verdana" w:cs="Arial"/>
          <w:b/>
          <w:sz w:val="22"/>
          <w:szCs w:val="22"/>
          <w:u w:val="single"/>
        </w:rPr>
      </w:pPr>
      <w:r>
        <w:rPr>
          <w:rFonts w:cs="Arial" w:ascii="Verdana" w:hAnsi="Verdana"/>
          <w:b/>
          <w:sz w:val="22"/>
          <w:szCs w:val="22"/>
          <w:u w:val="single"/>
        </w:rPr>
      </w:r>
    </w:p>
    <w:p>
      <w:pPr>
        <w:pStyle w:val="Normal"/>
        <w:spacing w:lineRule="auto" w:line="240"/>
        <w:ind w:left="0" w:right="0" w:hanging="0"/>
        <w:jc w:val="center"/>
        <w:rPr>
          <w:rFonts w:ascii="Verdana" w:hAnsi="Verdana" w:cs="Arial"/>
          <w:b/>
          <w:sz w:val="22"/>
          <w:szCs w:val="22"/>
          <w:u w:val="single"/>
        </w:rPr>
      </w:pPr>
      <w:r>
        <w:rPr>
          <w:rFonts w:cs="Arial" w:ascii="Verdana" w:hAnsi="Verdana"/>
          <w:b/>
          <w:sz w:val="22"/>
          <w:szCs w:val="22"/>
          <w:u w:val="single"/>
        </w:rPr>
      </w:r>
    </w:p>
    <w:p>
      <w:pPr>
        <w:pStyle w:val="Normal"/>
        <w:spacing w:lineRule="auto" w:line="240"/>
        <w:ind w:left="0" w:right="0" w:hanging="0"/>
        <w:jc w:val="center"/>
        <w:rPr/>
      </w:pPr>
      <w:r>
        <w:rPr>
          <w:rFonts w:eastAsia="Times New Roman" w:cs="Times New Roman" w:ascii="Verdana" w:hAnsi="Verdana"/>
          <w:b/>
          <w:bCs/>
          <w:iCs/>
          <w:color w:val="000000"/>
          <w:sz w:val="22"/>
          <w:szCs w:val="22"/>
        </w:rPr>
        <w:t>AQUISIÇÃO DE GÊNEROS ALIMENTÍCIOS PARA ATENDER AO PROGRAMA NACIONAL DE ALIMENTAÇÃO ESCOLAR</w:t>
      </w:r>
    </w:p>
    <w:p>
      <w:pPr>
        <w:pStyle w:val="Normal"/>
        <w:spacing w:lineRule="auto" w:line="240"/>
        <w:ind w:left="0" w:right="0" w:hanging="0"/>
        <w:jc w:val="center"/>
        <w:rPr>
          <w:rFonts w:ascii="Verdana" w:hAnsi="Verdana" w:cs="Arial"/>
          <w:b/>
          <w:sz w:val="22"/>
          <w:szCs w:val="22"/>
          <w:u w:val="single"/>
        </w:rPr>
      </w:pPr>
      <w:r>
        <w:rPr>
          <w:rFonts w:cs="Arial" w:ascii="Verdana" w:hAnsi="Verdana"/>
          <w:b/>
          <w:sz w:val="22"/>
          <w:szCs w:val="22"/>
          <w:u w:val="single"/>
        </w:rPr>
      </w:r>
    </w:p>
    <w:p>
      <w:pPr>
        <w:pStyle w:val="Normal"/>
        <w:spacing w:lineRule="auto" w:line="240"/>
        <w:ind w:left="0" w:right="0" w:hanging="0"/>
        <w:jc w:val="center"/>
        <w:rPr>
          <w:rFonts w:ascii="Verdana" w:hAnsi="Verdana" w:cs="Arial"/>
          <w:b/>
          <w:sz w:val="22"/>
          <w:szCs w:val="22"/>
          <w:u w:val="single"/>
        </w:rPr>
      </w:pPr>
      <w:r>
        <w:rPr>
          <w:rFonts w:cs="Arial" w:ascii="Verdana" w:hAnsi="Verdana"/>
          <w:b/>
          <w:sz w:val="22"/>
          <w:szCs w:val="22"/>
          <w:u w:val="single"/>
        </w:rPr>
      </w:r>
    </w:p>
    <w:p>
      <w:pPr>
        <w:pStyle w:val="Normal"/>
        <w:spacing w:lineRule="auto" w:line="240"/>
        <w:ind w:left="0" w:right="0" w:hanging="0"/>
        <w:jc w:val="center"/>
        <w:rPr/>
      </w:pPr>
      <w:r>
        <w:rPr>
          <w:rFonts w:cs="Arial" w:ascii="Verdana" w:hAnsi="Verdana"/>
          <w:b/>
          <w:bCs/>
          <w:i w:val="false"/>
          <w:iCs w:val="false"/>
          <w:color w:val="000000"/>
          <w:sz w:val="22"/>
          <w:szCs w:val="22"/>
        </w:rPr>
        <w:t xml:space="preserve">Processo Administrativo nº </w:t>
      </w:r>
      <w:r>
        <w:rPr>
          <w:rFonts w:eastAsia="Times New Roman" w:cs="Times New Roman" w:ascii="Verdana" w:hAnsi="Verdana"/>
          <w:b/>
          <w:bCs/>
          <w:i w:val="false"/>
          <w:iCs w:val="false"/>
          <w:color w:val="000000"/>
          <w:sz w:val="22"/>
          <w:szCs w:val="22"/>
        </w:rPr>
        <w:t>002734/</w:t>
      </w:r>
      <w:r>
        <w:rPr>
          <w:rFonts w:cs="Arial" w:ascii="Verdana" w:hAnsi="Verdana"/>
          <w:b/>
          <w:bCs/>
          <w:i w:val="false"/>
          <w:iCs w:val="false"/>
          <w:color w:val="000000"/>
          <w:sz w:val="22"/>
          <w:szCs w:val="22"/>
        </w:rPr>
        <w:t xml:space="preserve">2025 de 09 de abril de 2025 (Secretaria Municipal de </w:t>
      </w:r>
      <w:r>
        <w:rPr>
          <w:rFonts w:eastAsia="Times New Roman" w:cs="Arial" w:ascii="Verdana" w:hAnsi="Verdana"/>
          <w:b/>
          <w:bCs/>
          <w:i w:val="false"/>
          <w:iCs w:val="false"/>
          <w:color w:val="000000"/>
          <w:sz w:val="22"/>
          <w:szCs w:val="22"/>
        </w:rPr>
        <w:t>Educação</w:t>
      </w:r>
      <w:r>
        <w:rPr>
          <w:rFonts w:cs="Arial" w:ascii="Verdana" w:hAnsi="Verdana"/>
          <w:b/>
          <w:bCs/>
          <w:i w:val="false"/>
          <w:iCs w:val="false"/>
          <w:color w:val="000000"/>
          <w:sz w:val="22"/>
          <w:szCs w:val="22"/>
        </w:rPr>
        <w:t>)</w:t>
      </w:r>
    </w:p>
    <w:p>
      <w:pPr>
        <w:pStyle w:val="Normal"/>
        <w:spacing w:lineRule="auto" w:line="240"/>
        <w:ind w:left="0" w:right="0" w:hanging="0"/>
        <w:jc w:val="center"/>
        <w:rPr>
          <w:rFonts w:ascii="Verdana" w:hAnsi="Verdana"/>
          <w:sz w:val="22"/>
          <w:szCs w:val="22"/>
        </w:rPr>
      </w:pPr>
      <w:r>
        <w:rPr>
          <w:rFonts w:ascii="Verdana" w:hAnsi="Verdana"/>
          <w:sz w:val="22"/>
          <w:szCs w:val="22"/>
        </w:rPr>
      </w:r>
    </w:p>
    <w:p>
      <w:pPr>
        <w:pStyle w:val="Normal"/>
        <w:spacing w:lineRule="auto" w:line="240"/>
        <w:ind w:left="0" w:right="0" w:hanging="0"/>
        <w:jc w:val="center"/>
        <w:rPr>
          <w:rFonts w:ascii="Verdana" w:hAnsi="Verdana" w:cs="Arial"/>
          <w:b/>
          <w:sz w:val="22"/>
          <w:szCs w:val="22"/>
          <w:u w:val="single"/>
        </w:rPr>
      </w:pPr>
      <w:r>
        <w:rPr>
          <w:rFonts w:cs="Arial" w:ascii="Verdana" w:hAnsi="Verdana"/>
          <w:b/>
          <w:sz w:val="22"/>
          <w:szCs w:val="22"/>
          <w:u w:val="single"/>
        </w:rPr>
      </w:r>
    </w:p>
    <w:p>
      <w:pPr>
        <w:pStyle w:val="Nivel1"/>
        <w:spacing w:lineRule="auto" w:line="240" w:before="0" w:after="0"/>
        <w:ind w:left="0" w:right="0" w:hanging="0"/>
        <w:rPr/>
      </w:pPr>
      <w:r>
        <w:rPr>
          <w:rFonts w:cs="Times New Roman" w:ascii="Verdana" w:hAnsi="Verdana"/>
          <w:bCs/>
          <w:sz w:val="22"/>
          <w:szCs w:val="22"/>
        </w:rPr>
        <w:t>1. DAS CONDIÇÕES GERAIS DA CONTRATAÇÃO</w:t>
      </w:r>
    </w:p>
    <w:p>
      <w:pPr>
        <w:pStyle w:val="Normal"/>
        <w:tabs>
          <w:tab w:val="clear" w:pos="708"/>
          <w:tab w:val="left" w:pos="50" w:leader="none"/>
          <w:tab w:val="left" w:pos="150" w:leader="none"/>
        </w:tabs>
        <w:spacing w:lineRule="auto" w:line="240"/>
        <w:ind w:left="57" w:right="0" w:hanging="0"/>
        <w:jc w:val="both"/>
        <w:rPr/>
      </w:pPr>
      <w:r>
        <w:rPr>
          <w:rFonts w:eastAsia="Times New Roman" w:cs="Arial" w:ascii="Verdana" w:hAnsi="Verdana"/>
          <w:iCs/>
          <w:color w:val="000000"/>
          <w:sz w:val="22"/>
          <w:szCs w:val="22"/>
        </w:rPr>
        <w:t xml:space="preserve">1.1. Constitui objeto do presente Termo de Referência, a aquisição </w:t>
      </w:r>
      <w:r>
        <w:rPr>
          <w:rFonts w:eastAsia="Times New Roman" w:cs="Arial" w:ascii="Verdana" w:hAnsi="Verdana"/>
          <w:b/>
          <w:iCs/>
          <w:color w:val="000000"/>
          <w:sz w:val="22"/>
          <w:szCs w:val="22"/>
        </w:rPr>
        <w:t xml:space="preserve">por meio de licitação (pregão), </w:t>
      </w:r>
      <w:r>
        <w:rPr>
          <w:rFonts w:eastAsia="Times New Roman" w:cs="Arial" w:ascii="Verdana" w:hAnsi="Verdana"/>
          <w:iCs/>
          <w:color w:val="000000"/>
          <w:sz w:val="22"/>
          <w:szCs w:val="22"/>
        </w:rPr>
        <w:t>de gêneros alimentícios em atendimento ao Programa Nacional de Alimentação Escolar, devidamente relacionados e especificados na solicitação de compras nº 093/2025 e cronogramas em anexo no Estudo Técnico Preliminar e neste Termo de Referência, nos autos que já são partes integrantes desse processo.</w:t>
      </w:r>
    </w:p>
    <w:p>
      <w:pPr>
        <w:pStyle w:val="Normal"/>
        <w:tabs>
          <w:tab w:val="clear" w:pos="708"/>
          <w:tab w:val="left" w:pos="50" w:leader="none"/>
          <w:tab w:val="left" w:pos="150" w:leader="none"/>
        </w:tabs>
        <w:spacing w:lineRule="auto" w:line="240"/>
        <w:ind w:left="57" w:right="0" w:hanging="0"/>
        <w:jc w:val="both"/>
        <w:rPr>
          <w:rFonts w:ascii="Verdana" w:hAnsi="Verdana" w:cs="Arial"/>
          <w:b/>
          <w:sz w:val="22"/>
          <w:szCs w:val="22"/>
          <w:u w:val="single"/>
        </w:rPr>
      </w:pPr>
      <w:r>
        <w:rPr>
          <w:rFonts w:cs="Arial" w:ascii="Verdana" w:hAnsi="Verdana"/>
          <w:b/>
          <w:sz w:val="22"/>
          <w:szCs w:val="22"/>
          <w:u w:val="single"/>
        </w:rPr>
      </w:r>
    </w:p>
    <w:tbl>
      <w:tblPr>
        <w:tblW w:w="9988" w:type="dxa"/>
        <w:jc w:val="left"/>
        <w:tblInd w:w="70" w:type="dxa"/>
        <w:tblLayout w:type="fixed"/>
        <w:tblCellMar>
          <w:top w:w="0" w:type="dxa"/>
          <w:left w:w="70" w:type="dxa"/>
          <w:bottom w:w="0" w:type="dxa"/>
          <w:right w:w="70" w:type="dxa"/>
        </w:tblCellMar>
      </w:tblPr>
      <w:tblGrid>
        <w:gridCol w:w="794"/>
        <w:gridCol w:w="4888"/>
        <w:gridCol w:w="1074"/>
        <w:gridCol w:w="1573"/>
        <w:gridCol w:w="1659"/>
      </w:tblGrid>
      <w:tr>
        <w:trPr>
          <w:trHeight w:val="681" w:hRule="atLeast"/>
        </w:trPr>
        <w:tc>
          <w:tcPr>
            <w:tcW w:w="79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widowControl w:val="false"/>
              <w:spacing w:lineRule="auto" w:line="240"/>
              <w:jc w:val="center"/>
              <w:rPr/>
            </w:pPr>
            <w:r>
              <w:rPr>
                <w:rFonts w:cs="Arial" w:ascii="Verdana" w:hAnsi="Verdana"/>
                <w:b/>
                <w:color w:val="000000"/>
                <w:sz w:val="22"/>
                <w:szCs w:val="22"/>
              </w:rPr>
              <w:t>Item</w:t>
            </w:r>
          </w:p>
        </w:tc>
        <w:tc>
          <w:tcPr>
            <w:tcW w:w="4888"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widowControl w:val="false"/>
              <w:spacing w:lineRule="auto" w:line="240"/>
              <w:jc w:val="center"/>
              <w:rPr/>
            </w:pPr>
            <w:r>
              <w:rPr>
                <w:rFonts w:cs="Arial" w:ascii="Verdana" w:hAnsi="Verdana"/>
                <w:b/>
                <w:bCs/>
                <w:color w:val="000000"/>
                <w:sz w:val="22"/>
                <w:szCs w:val="22"/>
              </w:rPr>
              <w:t>DESCRIÇÃO</w:t>
            </w:r>
          </w:p>
        </w:tc>
        <w:tc>
          <w:tcPr>
            <w:tcW w:w="107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widowControl w:val="false"/>
              <w:spacing w:lineRule="auto" w:line="240"/>
              <w:jc w:val="center"/>
              <w:rPr/>
            </w:pPr>
            <w:r>
              <w:rPr>
                <w:rFonts w:cs="Arial" w:ascii="Verdana" w:hAnsi="Verdana"/>
                <w:b/>
                <w:bCs/>
                <w:color w:val="000000"/>
                <w:sz w:val="22"/>
                <w:szCs w:val="22"/>
              </w:rPr>
              <w:t>QTDE</w:t>
            </w:r>
          </w:p>
        </w:tc>
        <w:tc>
          <w:tcPr>
            <w:tcW w:w="1573"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widowControl w:val="false"/>
              <w:spacing w:lineRule="auto" w:line="240"/>
              <w:ind w:left="80" w:hanging="80"/>
              <w:jc w:val="center"/>
              <w:rPr/>
            </w:pPr>
            <w:r>
              <w:rPr>
                <w:rFonts w:cs="Arial" w:ascii="Verdana" w:hAnsi="Verdana"/>
                <w:b/>
                <w:color w:val="000000"/>
                <w:sz w:val="22"/>
                <w:szCs w:val="22"/>
              </w:rPr>
              <w:t>Preço Unitário Estimativo</w:t>
            </w:r>
          </w:p>
        </w:tc>
        <w:tc>
          <w:tcPr>
            <w:tcW w:w="165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widowControl w:val="false"/>
              <w:spacing w:lineRule="auto" w:line="240"/>
              <w:jc w:val="center"/>
              <w:rPr/>
            </w:pPr>
            <w:r>
              <w:rPr>
                <w:rFonts w:cs="Arial" w:ascii="Verdana" w:hAnsi="Verdana"/>
                <w:b/>
                <w:color w:val="000000"/>
                <w:sz w:val="22"/>
                <w:szCs w:val="22"/>
              </w:rPr>
              <w:t>Preço Total Estimado</w:t>
            </w:r>
          </w:p>
        </w:tc>
      </w:tr>
      <w:tr>
        <w:trPr>
          <w:trHeight w:val="269" w:hRule="atLeast"/>
        </w:trPr>
        <w:tc>
          <w:tcPr>
            <w:tcW w:w="79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widowControl w:val="false"/>
              <w:spacing w:lineRule="auto" w:line="240"/>
              <w:jc w:val="center"/>
              <w:rPr/>
            </w:pPr>
            <w:r>
              <w:rPr>
                <w:rFonts w:cs="Arial" w:ascii="Verdana" w:hAnsi="Verdana"/>
                <w:color w:val="000000"/>
                <w:sz w:val="22"/>
                <w:szCs w:val="22"/>
              </w:rPr>
              <w:t>01</w:t>
            </w:r>
          </w:p>
        </w:tc>
        <w:tc>
          <w:tcPr>
            <w:tcW w:w="4888"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widowControl w:val="false"/>
              <w:spacing w:lineRule="auto" w:line="240"/>
              <w:jc w:val="both"/>
              <w:rPr/>
            </w:pPr>
            <w:r>
              <w:rPr>
                <w:rFonts w:cs="Arial" w:ascii="Verdana" w:hAnsi="Verdana"/>
                <w:color w:val="000000"/>
                <w:sz w:val="22"/>
                <w:szCs w:val="22"/>
              </w:rPr>
              <w:t>Ovos de galinha - tipo: branco extra; classe a; frescos de casca porosa, fosca, seca e limpa, íntegro, sem manchas e rachaduras; validade: mínimo de 15 dias a partir da data de entrega; legislação: conforme resolução do ministério da agricultura nº 1 de 05/07/1991; acondicionamento: bandeja de papelão; unidade de fornecimento: pente 30 und.</w:t>
            </w:r>
          </w:p>
        </w:tc>
        <w:tc>
          <w:tcPr>
            <w:tcW w:w="107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widowControl w:val="false"/>
              <w:spacing w:lineRule="auto" w:line="240"/>
              <w:jc w:val="center"/>
              <w:rPr/>
            </w:pPr>
            <w:r>
              <w:rPr>
                <w:rFonts w:cs="Arial" w:ascii="Verdana" w:hAnsi="Verdana"/>
                <w:color w:val="000000"/>
                <w:sz w:val="22"/>
                <w:szCs w:val="22"/>
              </w:rPr>
              <w:t>810 PENTES</w:t>
            </w:r>
          </w:p>
        </w:tc>
        <w:tc>
          <w:tcPr>
            <w:tcW w:w="1573"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widowControl w:val="false"/>
              <w:spacing w:lineRule="auto" w:line="240"/>
              <w:jc w:val="center"/>
              <w:rPr/>
            </w:pPr>
            <w:r>
              <w:rPr>
                <w:rFonts w:cs="Arial" w:ascii="Verdana" w:hAnsi="Verdana"/>
                <w:color w:val="000000"/>
                <w:sz w:val="22"/>
                <w:szCs w:val="22"/>
              </w:rPr>
              <w:t>R$ 28,00</w:t>
            </w:r>
          </w:p>
        </w:tc>
        <w:tc>
          <w:tcPr>
            <w:tcW w:w="165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widowControl w:val="false"/>
              <w:spacing w:lineRule="auto" w:line="240"/>
              <w:jc w:val="center"/>
              <w:rPr/>
            </w:pPr>
            <w:r>
              <w:rPr>
                <w:rFonts w:cs="Arial" w:ascii="Verdana" w:hAnsi="Verdana"/>
                <w:color w:val="000000"/>
                <w:sz w:val="22"/>
                <w:szCs w:val="22"/>
              </w:rPr>
              <w:t>R$ 22.680,00</w:t>
            </w:r>
          </w:p>
        </w:tc>
      </w:tr>
      <w:tr>
        <w:trPr>
          <w:trHeight w:val="269" w:hRule="atLeast"/>
        </w:trPr>
        <w:tc>
          <w:tcPr>
            <w:tcW w:w="79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widowControl w:val="false"/>
              <w:spacing w:lineRule="auto" w:line="240"/>
              <w:jc w:val="center"/>
              <w:rPr/>
            </w:pPr>
            <w:r>
              <w:rPr>
                <w:rFonts w:cs="Arial" w:ascii="Verdana" w:hAnsi="Verdana"/>
                <w:color w:val="000000"/>
                <w:sz w:val="22"/>
                <w:szCs w:val="22"/>
              </w:rPr>
              <w:t>02</w:t>
            </w:r>
          </w:p>
        </w:tc>
        <w:tc>
          <w:tcPr>
            <w:tcW w:w="4888"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widowControl w:val="false"/>
              <w:spacing w:lineRule="auto" w:line="240"/>
              <w:jc w:val="both"/>
              <w:rPr/>
            </w:pPr>
            <w:r>
              <w:rPr>
                <w:rFonts w:cs="Arial" w:ascii="Verdana" w:hAnsi="Verdana"/>
                <w:color w:val="000000"/>
                <w:sz w:val="22"/>
                <w:szCs w:val="22"/>
              </w:rPr>
              <w:t>Biscoito doce tipo rosquinha sabor coco, sem lactose e sem glúten. Textura crocante; com odor, sabor e cor característicos; isento de parasitas e materiais estranhos. Embalagem primária plástica de 700g.  Validade mínima de 06 meses após a entrega. Zero gordura trans.</w:t>
            </w:r>
          </w:p>
        </w:tc>
        <w:tc>
          <w:tcPr>
            <w:tcW w:w="1074"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widowControl w:val="false"/>
              <w:spacing w:lineRule="auto" w:line="240"/>
              <w:jc w:val="center"/>
              <w:rPr/>
            </w:pPr>
            <w:r>
              <w:rPr>
                <w:rFonts w:cs="Arial" w:ascii="Verdana" w:hAnsi="Verdana"/>
                <w:color w:val="000000"/>
                <w:sz w:val="22"/>
                <w:szCs w:val="22"/>
              </w:rPr>
              <w:t>328 PCT</w:t>
            </w:r>
          </w:p>
        </w:tc>
        <w:tc>
          <w:tcPr>
            <w:tcW w:w="1573"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widowControl w:val="false"/>
              <w:spacing w:lineRule="auto" w:line="240"/>
              <w:jc w:val="center"/>
              <w:rPr/>
            </w:pPr>
            <w:r>
              <w:rPr>
                <w:rFonts w:cs="Arial" w:ascii="Verdana" w:hAnsi="Verdana"/>
                <w:color w:val="000000"/>
                <w:sz w:val="22"/>
                <w:szCs w:val="22"/>
              </w:rPr>
              <w:t>R$ 7,71</w:t>
            </w:r>
          </w:p>
        </w:tc>
        <w:tc>
          <w:tcPr>
            <w:tcW w:w="165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widowControl w:val="false"/>
              <w:spacing w:lineRule="auto" w:line="240"/>
              <w:jc w:val="center"/>
              <w:rPr/>
            </w:pPr>
            <w:r>
              <w:rPr>
                <w:rFonts w:cs="Arial" w:ascii="Verdana" w:hAnsi="Verdana"/>
                <w:color w:val="000000"/>
                <w:sz w:val="22"/>
                <w:szCs w:val="22"/>
              </w:rPr>
              <w:t>R$ 2.528,88</w:t>
            </w:r>
          </w:p>
        </w:tc>
      </w:tr>
      <w:tr>
        <w:trPr>
          <w:trHeight w:val="269" w:hRule="atLeast"/>
        </w:trPr>
        <w:tc>
          <w:tcPr>
            <w:tcW w:w="9988" w:type="dxa"/>
            <w:gridSpan w:val="5"/>
            <w:tcBorders>
              <w:top w:val="single" w:sz="8" w:space="0" w:color="000000"/>
              <w:left w:val="single" w:sz="8" w:space="0" w:color="000000"/>
              <w:bottom w:val="single" w:sz="8" w:space="0" w:color="000000"/>
              <w:right w:val="single" w:sz="8" w:space="0" w:color="000000"/>
            </w:tcBorders>
            <w:shd w:fill="FFFFFF" w:val="clear"/>
            <w:vAlign w:val="center"/>
          </w:tcPr>
          <w:p>
            <w:pPr>
              <w:pStyle w:val="Normal"/>
              <w:widowControl w:val="false"/>
              <w:spacing w:lineRule="auto" w:line="240"/>
              <w:rPr>
                <w:rFonts w:ascii="Verdana" w:hAnsi="Verdana"/>
                <w:sz w:val="22"/>
                <w:szCs w:val="22"/>
              </w:rPr>
            </w:pPr>
            <w:r>
              <w:rPr>
                <w:rFonts w:ascii="Verdana" w:hAnsi="Verdana"/>
                <w:sz w:val="22"/>
                <w:szCs w:val="22"/>
              </w:rPr>
            </w:r>
          </w:p>
          <w:p>
            <w:pPr>
              <w:pStyle w:val="Normal"/>
              <w:widowControl w:val="false"/>
              <w:spacing w:lineRule="auto" w:line="240"/>
              <w:rPr/>
            </w:pPr>
            <w:r>
              <w:rPr>
                <w:rFonts w:cs="Arial" w:ascii="Verdana" w:hAnsi="Verdana"/>
                <w:b w:val="false"/>
                <w:bCs w:val="false"/>
                <w:color w:val="000000"/>
                <w:sz w:val="22"/>
                <w:szCs w:val="22"/>
              </w:rPr>
              <w:t>VALOR ESTIMADO TOTAL: R$ 25.208,88 (vinte e cinco mil duzentos e oito reais e oitenta e oito centavos)</w:t>
            </w:r>
          </w:p>
        </w:tc>
      </w:tr>
    </w:tbl>
    <w:p>
      <w:pPr>
        <w:pStyle w:val="Normal"/>
        <w:suppressAutoHyphens w:val="false"/>
        <w:spacing w:lineRule="auto" w:line="240"/>
        <w:ind w:left="-22" w:right="0" w:hanging="0"/>
        <w:jc w:val="both"/>
        <w:rPr/>
      </w:pPr>
      <w:r>
        <w:rPr>
          <w:rFonts w:ascii="Verdana" w:hAnsi="Verdana"/>
          <w:b w:val="false"/>
          <w:bCs w:val="false"/>
          <w:iCs/>
          <w:sz w:val="22"/>
          <w:szCs w:val="22"/>
        </w:rPr>
        <w:t>1.2.</w:t>
      </w:r>
      <w:r>
        <w:rPr>
          <w:rFonts w:ascii="Verdana" w:hAnsi="Verdana"/>
          <w:iCs/>
          <w:sz w:val="22"/>
          <w:szCs w:val="22"/>
        </w:rPr>
        <w:t xml:space="preserve"> Os produtos propostos deverão, obrigatoriamente, atender as exigências de qualidade, observados os padrões e normas baixadas pelos órgãos competentes de controle e fiscalização de qualidade industrial em especial ANVISA ou equiparadas.</w:t>
      </w:r>
    </w:p>
    <w:p>
      <w:pPr>
        <w:pStyle w:val="Normal"/>
        <w:suppressAutoHyphens w:val="false"/>
        <w:spacing w:lineRule="auto" w:line="240"/>
        <w:ind w:left="-22" w:right="0" w:hanging="0"/>
        <w:jc w:val="both"/>
        <w:rPr/>
      </w:pPr>
      <w:r>
        <w:rPr>
          <w:rFonts w:ascii="Verdana" w:hAnsi="Verdana"/>
          <w:iCs/>
          <w:sz w:val="22"/>
          <w:szCs w:val="22"/>
        </w:rPr>
        <w:t>1.3. Nos preços apresentados deverão estar incluídas todas as despesas com mão de obra, encargos trabalhistas, previdenciários, fiscais, comerciais, despesas e obrigações financeiras de qualquer natureza e outras despesas, diretas e indiretas, inclusive lucro, necessários à perfeita execução do contrato.</w:t>
      </w:r>
    </w:p>
    <w:p>
      <w:pPr>
        <w:pStyle w:val="Normal"/>
        <w:suppressAutoHyphens w:val="false"/>
        <w:spacing w:lineRule="auto" w:line="240"/>
        <w:ind w:left="-22" w:right="0" w:hanging="0"/>
        <w:jc w:val="both"/>
        <w:rPr/>
      </w:pPr>
      <w:r>
        <w:rPr>
          <w:rFonts w:ascii="Verdana" w:hAnsi="Verdana"/>
          <w:iCs/>
          <w:sz w:val="22"/>
          <w:szCs w:val="22"/>
        </w:rPr>
        <w:t xml:space="preserve">1.4. </w:t>
      </w:r>
      <w:bookmarkStart w:id="0" w:name="art23§711"/>
      <w:r>
        <w:rPr>
          <w:rFonts w:eastAsia="Times New Roman" w:cs="Arial" w:ascii="Verdana" w:hAnsi="Verdana"/>
          <w:iCs/>
          <w:color w:val="000000"/>
          <w:sz w:val="22"/>
          <w:szCs w:val="22"/>
        </w:rPr>
        <w:t>Os insumos necessários às embalagens e para as entregas serão fornecidos pela Contratada.</w:t>
      </w:r>
    </w:p>
    <w:p>
      <w:pPr>
        <w:pStyle w:val="ListParagraph"/>
        <w:suppressAutoHyphens w:val="false"/>
        <w:spacing w:lineRule="auto" w:line="240"/>
        <w:ind w:left="-22" w:right="0" w:hanging="0"/>
        <w:jc w:val="both"/>
        <w:rPr/>
      </w:pPr>
      <w:r>
        <w:rPr>
          <w:rFonts w:ascii="Verdana" w:hAnsi="Verdana"/>
          <w:b w:val="false"/>
          <w:bCs w:val="false"/>
          <w:iCs/>
          <w:sz w:val="22"/>
          <w:szCs w:val="22"/>
        </w:rPr>
        <w:t xml:space="preserve">1.5. </w:t>
      </w:r>
      <w:r>
        <w:rPr>
          <w:rFonts w:cs="Arial" w:ascii="Verdana" w:hAnsi="Verdana"/>
          <w:bCs/>
          <w:iCs/>
          <w:color w:val="000000"/>
          <w:sz w:val="22"/>
          <w:szCs w:val="22"/>
        </w:rPr>
        <w:t xml:space="preserve">O prazo de vigência da contratação será </w:t>
      </w:r>
      <w:r>
        <w:rPr>
          <w:rFonts w:eastAsia="Times New Roman" w:cs="Arial" w:ascii="Verdana" w:hAnsi="Verdana"/>
          <w:bCs/>
          <w:iCs/>
          <w:color w:val="000000"/>
          <w:sz w:val="22"/>
          <w:szCs w:val="22"/>
        </w:rPr>
        <w:t>contado da data da assinatura e termino  em 30 dias após a última entrega fixada em cronograma anexo</w:t>
      </w:r>
      <w:r>
        <w:rPr>
          <w:rFonts w:cs="Arial" w:ascii="Verdana" w:hAnsi="Verdana"/>
          <w:bCs/>
          <w:iCs/>
          <w:color w:val="000000"/>
          <w:sz w:val="22"/>
          <w:szCs w:val="22"/>
        </w:rPr>
        <w:t>.</w:t>
      </w:r>
    </w:p>
    <w:p>
      <w:pPr>
        <w:pStyle w:val="ListParagraph"/>
        <w:tabs>
          <w:tab w:val="clear" w:pos="708"/>
          <w:tab w:val="left" w:pos="0" w:leader="none"/>
        </w:tabs>
        <w:suppressAutoHyphens w:val="false"/>
        <w:spacing w:lineRule="auto" w:line="240"/>
        <w:ind w:left="0" w:right="0" w:hanging="0"/>
        <w:jc w:val="both"/>
        <w:rPr/>
      </w:pPr>
      <w:r>
        <w:rPr>
          <w:rFonts w:eastAsia="Times New Roman" w:cs="Times New Roman" w:ascii="Verdana" w:hAnsi="Verdana"/>
          <w:b w:val="false"/>
          <w:bCs w:val="false"/>
          <w:iCs/>
          <w:color w:val="000000"/>
          <w:sz w:val="22"/>
          <w:szCs w:val="22"/>
        </w:rPr>
        <w:t>1.6.</w:t>
      </w:r>
      <w:r>
        <w:rPr>
          <w:rFonts w:eastAsia="Times New Roman" w:cs="Times New Roman" w:ascii="Verdana" w:hAnsi="Verdana"/>
          <w:iCs/>
          <w:color w:val="000000"/>
          <w:sz w:val="22"/>
          <w:szCs w:val="22"/>
        </w:rPr>
        <w:t xml:space="preserve"> O custo estimado total da contratação é de</w:t>
      </w:r>
      <w:r>
        <w:rPr>
          <w:rFonts w:eastAsia="Times New Roman" w:cs="Times New Roman" w:ascii="Verdana" w:hAnsi="Verdana"/>
          <w:i/>
          <w:iCs/>
          <w:color w:val="FF0000"/>
          <w:sz w:val="22"/>
          <w:szCs w:val="22"/>
        </w:rPr>
        <w:t xml:space="preserve"> </w:t>
      </w:r>
      <w:r>
        <w:rPr>
          <w:rFonts w:eastAsia="Times New Roman" w:cs="Arial" w:ascii="Verdana" w:hAnsi="Verdana"/>
          <w:b w:val="false"/>
          <w:bCs w:val="false"/>
          <w:i w:val="false"/>
          <w:iCs w:val="false"/>
          <w:color w:val="000000"/>
          <w:sz w:val="22"/>
          <w:szCs w:val="22"/>
        </w:rPr>
        <w:t xml:space="preserve"> R$ 25.208,88 (vinte e cinco mil duzentos e oito reais e oitenta e oito centavos) </w:t>
      </w:r>
      <w:r>
        <w:rPr>
          <w:rFonts w:eastAsia="Times New Roman" w:cs="Times New Roman" w:ascii="Verdana" w:hAnsi="Verdana"/>
          <w:b w:val="false"/>
          <w:bCs w:val="false"/>
          <w:i w:val="false"/>
          <w:iCs w:val="false"/>
          <w:color w:val="000000"/>
          <w:sz w:val="22"/>
          <w:szCs w:val="22"/>
        </w:rPr>
        <w:t>c</w:t>
      </w:r>
      <w:r>
        <w:rPr>
          <w:rFonts w:eastAsia="Times New Roman" w:cs="Times New Roman" w:ascii="Verdana" w:hAnsi="Verdana"/>
          <w:i w:val="false"/>
          <w:iCs w:val="false"/>
          <w:color w:val="000000"/>
          <w:sz w:val="22"/>
          <w:szCs w:val="22"/>
        </w:rPr>
        <w:t xml:space="preserve">onforme </w:t>
      </w:r>
      <w:r>
        <w:rPr>
          <w:rFonts w:eastAsia="Times New Roman" w:cs="Times New Roman" w:ascii="Verdana" w:hAnsi="Verdana"/>
          <w:i w:val="false"/>
          <w:iCs w:val="false"/>
          <w:color w:val="000000"/>
          <w:sz w:val="22"/>
          <w:szCs w:val="22"/>
          <w:u w:val="none"/>
        </w:rPr>
        <w:t>custos un</w:t>
      </w:r>
      <w:r>
        <w:rPr>
          <w:rFonts w:eastAsia="Times New Roman" w:cs="Times New Roman" w:ascii="Verdana" w:hAnsi="Verdana"/>
          <w:i w:val="false"/>
          <w:iCs w:val="false"/>
          <w:color w:val="000000"/>
          <w:sz w:val="22"/>
          <w:szCs w:val="22"/>
          <w:u w:val="single"/>
        </w:rPr>
        <w:t>i</w:t>
      </w:r>
      <w:r>
        <w:rPr>
          <w:rFonts w:eastAsia="Times New Roman" w:cs="Times New Roman" w:ascii="Verdana" w:hAnsi="Verdana"/>
          <w:i w:val="false"/>
          <w:iCs w:val="false"/>
          <w:color w:val="000000"/>
          <w:sz w:val="22"/>
          <w:szCs w:val="22"/>
          <w:u w:val="none"/>
        </w:rPr>
        <w:t xml:space="preserve">tários </w:t>
      </w:r>
      <w:r>
        <w:rPr>
          <w:rFonts w:eastAsia="Times New Roman" w:cs="Times New Roman" w:ascii="Verdana" w:hAnsi="Verdana"/>
          <w:i w:val="false"/>
          <w:iCs w:val="false"/>
          <w:color w:val="000000"/>
          <w:sz w:val="22"/>
          <w:szCs w:val="22"/>
        </w:rPr>
        <w:t>apostos no orçamento e no quadro comparativo de preços simples em anexo.</w:t>
      </w:r>
    </w:p>
    <w:p>
      <w:pPr>
        <w:pStyle w:val="ListParagraph"/>
        <w:tabs>
          <w:tab w:val="clear" w:pos="708"/>
          <w:tab w:val="left" w:pos="0" w:leader="none"/>
        </w:tabs>
        <w:suppressAutoHyphens w:val="false"/>
        <w:spacing w:lineRule="auto" w:line="240"/>
        <w:ind w:left="0" w:right="0" w:hanging="0"/>
        <w:jc w:val="both"/>
        <w:rPr>
          <w:rFonts w:ascii="Verdana" w:hAnsi="Verdana"/>
          <w:i w:val="false"/>
          <w:i w:val="false"/>
          <w:iCs w:val="false"/>
          <w:sz w:val="22"/>
          <w:szCs w:val="22"/>
        </w:rPr>
      </w:pPr>
      <w:r>
        <w:rPr>
          <w:rFonts w:ascii="Verdana" w:hAnsi="Verdana"/>
          <w:i w:val="false"/>
          <w:iCs w:val="false"/>
          <w:sz w:val="22"/>
          <w:szCs w:val="22"/>
        </w:rPr>
      </w:r>
    </w:p>
    <w:p>
      <w:pPr>
        <w:pStyle w:val="Nivel1"/>
        <w:spacing w:lineRule="auto" w:line="240" w:before="0" w:after="0"/>
        <w:ind w:left="0" w:right="0" w:hanging="0"/>
        <w:rPr/>
      </w:pPr>
      <w:r>
        <w:rPr>
          <w:rFonts w:cs="Times New Roman" w:ascii="Verdana" w:hAnsi="Verdana"/>
          <w:bCs/>
          <w:sz w:val="22"/>
          <w:szCs w:val="22"/>
        </w:rPr>
        <w:t>2. FUNDAMENTAÇÃO E DESCRIÇÃO DA NECESSIDADE DA AQUISIÇÃO</w:t>
      </w:r>
    </w:p>
    <w:p>
      <w:pPr>
        <w:pStyle w:val="ListParagraph"/>
        <w:widowControl/>
        <w:suppressAutoHyphens w:val="true"/>
        <w:overflowPunct w:val="false"/>
        <w:bidi w:val="0"/>
        <w:spacing w:lineRule="auto" w:line="240" w:before="0" w:after="0"/>
        <w:ind w:left="0" w:right="0" w:hanging="0"/>
        <w:contextualSpacing/>
        <w:jc w:val="both"/>
        <w:rPr/>
      </w:pPr>
      <w:r>
        <w:rPr>
          <w:rFonts w:cs="Arial" w:ascii="Verdana" w:hAnsi="Verdana"/>
          <w:b w:val="false"/>
          <w:bCs w:val="false"/>
          <w:sz w:val="22"/>
          <w:szCs w:val="22"/>
        </w:rPr>
        <w:t>2.1. Aquisição, por meio de pregão eletrônico, para aquisição de gêneros alimentícios para atender ao Programa Nacional de Alimentação Escolar.</w:t>
      </w:r>
    </w:p>
    <w:p>
      <w:pPr>
        <w:pStyle w:val="ListParagraph"/>
        <w:widowControl/>
        <w:suppressAutoHyphens w:val="true"/>
        <w:overflowPunct w:val="false"/>
        <w:bidi w:val="0"/>
        <w:spacing w:lineRule="auto" w:line="240" w:before="0" w:after="0"/>
        <w:ind w:left="0" w:right="0" w:hanging="0"/>
        <w:contextualSpacing/>
        <w:jc w:val="both"/>
        <w:rPr/>
      </w:pPr>
      <w:r>
        <w:rPr>
          <w:rFonts w:eastAsia="Arial" w:cs="Arial" w:ascii="Verdana" w:hAnsi="Verdana"/>
          <w:b w:val="false"/>
          <w:bCs w:val="false"/>
          <w:sz w:val="22"/>
          <w:szCs w:val="22"/>
        </w:rPr>
        <w:t>2.2. A quantidade foi estimada com base na demanda que será necessária para atender as Escolas, com levantamento realizado e informado pela Nutricionista Responsável Técnica do Programa Nacional de Alimentação Escolar no Município de São Gabriel da Palha;</w:t>
      </w:r>
    </w:p>
    <w:p>
      <w:pPr>
        <w:pStyle w:val="Normal"/>
        <w:widowControl/>
        <w:suppressAutoHyphens w:val="true"/>
        <w:overflowPunct w:val="false"/>
        <w:bidi w:val="0"/>
        <w:spacing w:lineRule="auto" w:line="240"/>
        <w:ind w:left="0" w:right="0" w:hanging="0"/>
        <w:jc w:val="both"/>
        <w:rPr/>
      </w:pPr>
      <w:r>
        <w:rPr>
          <w:rFonts w:eastAsia="Arial" w:cs="Arial" w:ascii="Verdana" w:hAnsi="Verdana"/>
          <w:b w:val="false"/>
          <w:bCs w:val="false"/>
          <w:sz w:val="22"/>
          <w:szCs w:val="22"/>
        </w:rPr>
        <w:t>2.3. Informamos</w:t>
      </w:r>
      <w:r>
        <w:rPr>
          <w:rFonts w:cs="Arial" w:ascii="Verdana" w:hAnsi="Verdana"/>
          <w:b w:val="false"/>
          <w:bCs w:val="false"/>
          <w:sz w:val="22"/>
          <w:szCs w:val="22"/>
        </w:rPr>
        <w:t xml:space="preserve"> que as Escolas da Rede Municipal necessitam dos gêneros al</w:t>
      </w:r>
      <w:r>
        <w:rPr>
          <w:rFonts w:cs="Arial" w:ascii="Verdana" w:hAnsi="Verdana"/>
          <w:bCs/>
          <w:sz w:val="22"/>
          <w:szCs w:val="22"/>
        </w:rPr>
        <w:t>imentícios, devido seu valor nutricional e sua importância perante o crescimento e desenvolvimento dos alunos atendidos pelo programa de Alimentação Escolar;</w:t>
      </w:r>
    </w:p>
    <w:p>
      <w:pPr>
        <w:pStyle w:val="ListParagraph"/>
        <w:widowControl/>
        <w:suppressAutoHyphens w:val="true"/>
        <w:overflowPunct w:val="false"/>
        <w:bidi w:val="0"/>
        <w:spacing w:lineRule="auto" w:line="240" w:before="0" w:after="0"/>
        <w:ind w:left="0" w:right="0" w:hanging="0"/>
        <w:contextualSpacing/>
        <w:jc w:val="both"/>
        <w:rPr/>
      </w:pPr>
      <w:r>
        <w:rPr>
          <w:rFonts w:eastAsia="Arial" w:cs="Arial" w:ascii="Verdana" w:hAnsi="Verdana"/>
          <w:b w:val="false"/>
          <w:bCs w:val="false"/>
          <w:sz w:val="22"/>
          <w:szCs w:val="22"/>
          <w:u w:val="none"/>
        </w:rPr>
        <w:t xml:space="preserve">2.4. Considerando que para manter um atendimento ao Programa Nacional de Alimentação Escolar com 200 dias letivos com fornecimento de gêneros perecíveis, </w:t>
      </w:r>
      <w:r>
        <w:rPr>
          <w:rFonts w:eastAsia="Arial" w:cs="Arial" w:ascii="Verdana" w:hAnsi="Verdana"/>
          <w:b w:val="false"/>
          <w:bCs w:val="false"/>
          <w:i w:val="false"/>
          <w:caps w:val="false"/>
          <w:smallCaps w:val="false"/>
          <w:strike w:val="false"/>
          <w:dstrike w:val="false"/>
          <w:color w:val="000000"/>
          <w:position w:val="0"/>
          <w:sz w:val="22"/>
          <w:sz w:val="22"/>
          <w:szCs w:val="22"/>
          <w:u w:val="none"/>
          <w:shd w:fill="auto" w:val="clear"/>
          <w:vertAlign w:val="baseline"/>
        </w:rPr>
        <w:t>incluindo verduras e legumes,</w:t>
      </w:r>
      <w:r>
        <w:rPr>
          <w:rFonts w:eastAsia="Arial" w:cs="Arial" w:ascii="Verdana" w:hAnsi="Verdana"/>
          <w:b w:val="false"/>
          <w:bCs w:val="false"/>
          <w:sz w:val="22"/>
          <w:szCs w:val="22"/>
          <w:u w:val="none"/>
        </w:rPr>
        <w:t xml:space="preserve"> conforme a discriminação dos itens, faz se necessária a aquisição.</w:t>
      </w:r>
    </w:p>
    <w:p>
      <w:pPr>
        <w:pStyle w:val="Nivel1"/>
        <w:spacing w:lineRule="auto" w:line="240" w:before="0" w:after="0"/>
        <w:ind w:left="0" w:right="0" w:hanging="0"/>
        <w:rPr>
          <w:rFonts w:ascii="Verdana" w:hAnsi="Verdana"/>
          <w:sz w:val="22"/>
          <w:szCs w:val="22"/>
        </w:rPr>
      </w:pPr>
      <w:r>
        <w:rPr>
          <w:rFonts w:ascii="Verdana" w:hAnsi="Verdana"/>
          <w:sz w:val="22"/>
          <w:szCs w:val="22"/>
        </w:rPr>
      </w:r>
    </w:p>
    <w:p>
      <w:pPr>
        <w:pStyle w:val="Nivel1"/>
        <w:spacing w:lineRule="auto" w:line="240" w:before="0" w:after="0"/>
        <w:ind w:left="0" w:right="0" w:hanging="0"/>
        <w:rPr/>
      </w:pPr>
      <w:r>
        <w:rPr>
          <w:rFonts w:ascii="Verdana" w:hAnsi="Verdana"/>
          <w:bCs/>
          <w:sz w:val="22"/>
          <w:szCs w:val="22"/>
        </w:rPr>
        <w:t>3</w:t>
      </w:r>
      <w:r>
        <w:rPr>
          <w:rFonts w:ascii="Verdana" w:hAnsi="Verdana"/>
          <w:sz w:val="22"/>
          <w:szCs w:val="22"/>
        </w:rPr>
        <w:t>. DESCRIÇÃO DA SOLUÇÃO</w:t>
      </w:r>
    </w:p>
    <w:p>
      <w:pPr>
        <w:pStyle w:val="Normal"/>
        <w:spacing w:lineRule="auto" w:line="240"/>
        <w:ind w:right="143" w:hanging="0"/>
        <w:jc w:val="both"/>
        <w:rPr/>
      </w:pPr>
      <w:r>
        <w:rPr>
          <w:rFonts w:cs="Arial" w:ascii="Verdana" w:hAnsi="Verdana"/>
          <w:b w:val="false"/>
          <w:bCs w:val="false"/>
          <w:i w:val="false"/>
          <w:iCs w:val="false"/>
          <w:color w:val="000000"/>
          <w:sz w:val="22"/>
          <w:szCs w:val="22"/>
          <w:u w:val="none"/>
        </w:rPr>
        <w:t xml:space="preserve">3.1 A solução a ser adotada consiste na aquisição de gêneros alimentícios por meio de </w:t>
      </w:r>
      <w:r>
        <w:rPr>
          <w:rFonts w:cs="Arial" w:ascii="Verdana" w:hAnsi="Verdana"/>
          <w:b/>
          <w:bCs/>
          <w:i w:val="false"/>
          <w:iCs w:val="false"/>
          <w:color w:val="000000"/>
          <w:sz w:val="22"/>
          <w:szCs w:val="22"/>
          <w:u w:val="none"/>
        </w:rPr>
        <w:t>pregão eletrônico</w:t>
      </w:r>
      <w:r>
        <w:rPr>
          <w:rFonts w:cs="Arial" w:ascii="Verdana" w:hAnsi="Verdana"/>
          <w:b w:val="false"/>
          <w:bCs w:val="false"/>
          <w:i w:val="false"/>
          <w:iCs w:val="false"/>
          <w:color w:val="000000"/>
          <w:sz w:val="22"/>
          <w:szCs w:val="22"/>
          <w:u w:val="none"/>
        </w:rPr>
        <w:t>, para atender as necessidades das Escolas da Rede Pública Municipal através do Programa Nacional de Alimentação Escolar, da Secretaria Municipal de Educação.</w:t>
      </w:r>
    </w:p>
    <w:p>
      <w:pPr>
        <w:pStyle w:val="Normal"/>
        <w:spacing w:lineRule="auto" w:line="240"/>
        <w:ind w:right="143" w:hanging="0"/>
        <w:jc w:val="both"/>
        <w:rPr>
          <w:rFonts w:ascii="Verdana" w:hAnsi="Verdana" w:cs="Arial"/>
          <w:b w:val="false"/>
          <w:bCs w:val="false"/>
          <w:i w:val="false"/>
          <w:i w:val="false"/>
          <w:iCs w:val="false"/>
          <w:color w:val="000000"/>
          <w:sz w:val="22"/>
          <w:szCs w:val="22"/>
          <w:u w:val="none"/>
        </w:rPr>
      </w:pPr>
      <w:r>
        <w:rPr/>
      </w:r>
    </w:p>
    <w:p>
      <w:pPr>
        <w:pStyle w:val="Nivel1"/>
        <w:spacing w:lineRule="auto" w:line="240" w:before="0" w:after="0"/>
        <w:ind w:left="0" w:right="0" w:hanging="0"/>
        <w:rPr/>
      </w:pPr>
      <w:r>
        <w:rPr>
          <w:rFonts w:cs="Times New Roman" w:ascii="Verdana" w:hAnsi="Verdana"/>
          <w:bCs/>
          <w:sz w:val="22"/>
          <w:szCs w:val="22"/>
        </w:rPr>
        <w:t>4. REQUISITOS DA CONTRATAÇÃO</w:t>
      </w:r>
    </w:p>
    <w:p>
      <w:pPr>
        <w:pStyle w:val="ListParagraph"/>
        <w:tabs>
          <w:tab w:val="clear" w:pos="708"/>
          <w:tab w:val="left" w:pos="3390" w:leader="none"/>
          <w:tab w:val="center" w:pos="5032" w:leader="none"/>
        </w:tabs>
        <w:spacing w:lineRule="auto" w:line="240" w:before="0" w:after="0"/>
        <w:ind w:left="110" w:hanging="110"/>
        <w:contextualSpacing w:val="false"/>
        <w:jc w:val="both"/>
        <w:rPr/>
      </w:pPr>
      <w:r>
        <w:rPr>
          <w:rFonts w:eastAsia="Arial" w:cs="Arial" w:ascii="Verdana" w:hAnsi="Verdana"/>
          <w:b w:val="false"/>
          <w:bCs w:val="false"/>
          <w:sz w:val="22"/>
          <w:szCs w:val="22"/>
        </w:rPr>
        <w:t xml:space="preserve">4.1 O </w:t>
      </w:r>
      <w:r>
        <w:rPr>
          <w:rFonts w:cs="Arial" w:ascii="Verdana" w:hAnsi="Verdana"/>
          <w:b w:val="false"/>
          <w:bCs w:val="false"/>
          <w:spacing w:val="-1"/>
          <w:sz w:val="22"/>
          <w:szCs w:val="22"/>
        </w:rPr>
        <w:t>objeto deste termo de referência</w:t>
      </w:r>
      <w:r>
        <w:rPr>
          <w:rFonts w:cs="Arial" w:ascii="Verdana" w:hAnsi="Verdana"/>
          <w:b w:val="false"/>
          <w:bCs w:val="false"/>
          <w:sz w:val="22"/>
          <w:szCs w:val="22"/>
        </w:rPr>
        <w:t xml:space="preserve"> é a aquisição de gêneros alimentícios </w:t>
      </w:r>
      <w:r>
        <w:rPr>
          <w:rFonts w:cs="Arial" w:ascii="Verdana" w:hAnsi="Verdana"/>
          <w:b w:val="false"/>
          <w:bCs w:val="false"/>
          <w:spacing w:val="-1"/>
          <w:sz w:val="22"/>
          <w:szCs w:val="22"/>
        </w:rPr>
        <w:t xml:space="preserve">em </w:t>
      </w:r>
      <w:r>
        <w:rPr>
          <w:rFonts w:cs="Arial" w:ascii="Verdana" w:hAnsi="Verdana"/>
          <w:b w:val="false"/>
          <w:bCs w:val="false"/>
          <w:sz w:val="22"/>
          <w:szCs w:val="22"/>
        </w:rPr>
        <w:t>atendimento</w:t>
      </w:r>
      <w:r>
        <w:rPr>
          <w:rFonts w:cs="Arial" w:ascii="Verdana" w:hAnsi="Verdana"/>
          <w:b w:val="false"/>
          <w:bCs w:val="false"/>
          <w:spacing w:val="-4"/>
          <w:sz w:val="22"/>
          <w:szCs w:val="22"/>
        </w:rPr>
        <w:t xml:space="preserve"> </w:t>
      </w:r>
      <w:r>
        <w:rPr>
          <w:rFonts w:cs="Arial" w:ascii="Verdana" w:hAnsi="Verdana"/>
          <w:b w:val="false"/>
          <w:bCs w:val="false"/>
          <w:sz w:val="22"/>
          <w:szCs w:val="22"/>
        </w:rPr>
        <w:t>ao</w:t>
      </w:r>
      <w:r>
        <w:rPr>
          <w:rFonts w:cs="Arial" w:ascii="Verdana" w:hAnsi="Verdana"/>
          <w:b w:val="false"/>
          <w:bCs w:val="false"/>
          <w:spacing w:val="-4"/>
          <w:sz w:val="22"/>
          <w:szCs w:val="22"/>
        </w:rPr>
        <w:t xml:space="preserve"> </w:t>
      </w:r>
      <w:r>
        <w:rPr>
          <w:rFonts w:cs="Arial" w:ascii="Verdana" w:hAnsi="Verdana"/>
          <w:b w:val="false"/>
          <w:bCs w:val="false"/>
          <w:sz w:val="22"/>
          <w:szCs w:val="22"/>
        </w:rPr>
        <w:t>Programa</w:t>
      </w:r>
      <w:r>
        <w:rPr>
          <w:rFonts w:cs="Arial" w:ascii="Verdana" w:hAnsi="Verdana"/>
          <w:b w:val="false"/>
          <w:bCs w:val="false"/>
          <w:spacing w:val="-3"/>
          <w:sz w:val="22"/>
          <w:szCs w:val="22"/>
        </w:rPr>
        <w:t xml:space="preserve"> </w:t>
      </w:r>
      <w:r>
        <w:rPr>
          <w:rFonts w:cs="Arial" w:ascii="Verdana" w:hAnsi="Verdana"/>
          <w:b w:val="false"/>
          <w:bCs w:val="false"/>
          <w:sz w:val="22"/>
          <w:szCs w:val="22"/>
        </w:rPr>
        <w:t>Nacional</w:t>
      </w:r>
      <w:r>
        <w:rPr>
          <w:rFonts w:cs="Arial" w:ascii="Verdana" w:hAnsi="Verdana"/>
          <w:b w:val="false"/>
          <w:bCs w:val="false"/>
          <w:spacing w:val="-5"/>
          <w:sz w:val="22"/>
          <w:szCs w:val="22"/>
        </w:rPr>
        <w:t xml:space="preserve"> </w:t>
      </w:r>
      <w:r>
        <w:rPr>
          <w:rFonts w:cs="Arial" w:ascii="Verdana" w:hAnsi="Verdana"/>
          <w:b w:val="false"/>
          <w:bCs w:val="false"/>
          <w:sz w:val="22"/>
          <w:szCs w:val="22"/>
        </w:rPr>
        <w:t>de</w:t>
      </w:r>
      <w:r>
        <w:rPr>
          <w:rFonts w:cs="Arial" w:ascii="Verdana" w:hAnsi="Verdana"/>
          <w:b w:val="false"/>
          <w:bCs w:val="false"/>
          <w:spacing w:val="-1"/>
          <w:sz w:val="22"/>
          <w:szCs w:val="22"/>
        </w:rPr>
        <w:t xml:space="preserve"> </w:t>
      </w:r>
      <w:r>
        <w:rPr>
          <w:rFonts w:cs="Arial" w:ascii="Verdana" w:hAnsi="Verdana"/>
          <w:b w:val="false"/>
          <w:bCs w:val="false"/>
          <w:sz w:val="22"/>
          <w:szCs w:val="22"/>
        </w:rPr>
        <w:t>Alimentação</w:t>
      </w:r>
      <w:r>
        <w:rPr>
          <w:rFonts w:cs="Arial" w:ascii="Verdana" w:hAnsi="Verdana"/>
          <w:b w:val="false"/>
          <w:bCs w:val="false"/>
          <w:spacing w:val="-5"/>
          <w:sz w:val="22"/>
          <w:szCs w:val="22"/>
        </w:rPr>
        <w:t xml:space="preserve"> </w:t>
      </w:r>
      <w:r>
        <w:rPr>
          <w:rFonts w:cs="Arial" w:ascii="Verdana" w:hAnsi="Verdana"/>
          <w:b w:val="false"/>
          <w:bCs w:val="false"/>
          <w:sz w:val="22"/>
          <w:szCs w:val="22"/>
        </w:rPr>
        <w:t xml:space="preserve">Escolar. </w:t>
      </w:r>
    </w:p>
    <w:p>
      <w:pPr>
        <w:pStyle w:val="Normal"/>
        <w:spacing w:lineRule="auto" w:line="240"/>
        <w:ind w:left="110" w:hanging="110"/>
        <w:jc w:val="both"/>
        <w:rPr/>
      </w:pPr>
      <w:r>
        <w:rPr>
          <w:rFonts w:cs="Arial" w:ascii="Verdana" w:hAnsi="Verdana"/>
          <w:b w:val="false"/>
          <w:bCs w:val="false"/>
          <w:sz w:val="22"/>
          <w:szCs w:val="22"/>
        </w:rPr>
        <w:t>4.2. Nos preços apresentados deverão estar incluídas todas as despesas com mão de obra, encargos trabalhistas, previdenciários, fiscais, comerciais, despesas e obrigações financeiras de qualquer natureza e outras despesas, diretas e indiretas, inclusive lucro, necessários à perfeita execução do contrato;</w:t>
      </w:r>
    </w:p>
    <w:p>
      <w:pPr>
        <w:pStyle w:val="Normal"/>
        <w:spacing w:lineRule="auto" w:line="240"/>
        <w:ind w:left="110" w:hanging="110"/>
        <w:jc w:val="both"/>
        <w:rPr/>
      </w:pPr>
      <w:r>
        <w:rPr>
          <w:rFonts w:cs="Arial" w:ascii="Verdana" w:hAnsi="Verdana"/>
          <w:b w:val="false"/>
          <w:bCs w:val="false"/>
          <w:sz w:val="22"/>
          <w:szCs w:val="22"/>
        </w:rPr>
        <w:t xml:space="preserve">4.3. Os </w:t>
      </w:r>
      <w:r>
        <w:rPr>
          <w:rFonts w:cs="Arial" w:ascii="Verdana" w:hAnsi="Verdana"/>
          <w:sz w:val="22"/>
          <w:szCs w:val="22"/>
        </w:rPr>
        <w:t>insumos necessários às embalagens e para as entregas serão fornecidos pela Contratada.</w:t>
      </w:r>
    </w:p>
    <w:p>
      <w:pPr>
        <w:pStyle w:val="Normal"/>
        <w:spacing w:lineRule="auto" w:line="240"/>
        <w:ind w:left="110" w:hanging="110"/>
        <w:jc w:val="both"/>
        <w:rPr>
          <w:rFonts w:ascii="Verdana" w:hAnsi="Verdana" w:cs="Arial"/>
          <w:b/>
          <w:sz w:val="22"/>
          <w:szCs w:val="22"/>
        </w:rPr>
      </w:pPr>
      <w:r>
        <w:rPr>
          <w:rFonts w:cs="Arial" w:ascii="Verdana" w:hAnsi="Verdana"/>
          <w:b/>
          <w:sz w:val="22"/>
          <w:szCs w:val="22"/>
        </w:rPr>
      </w:r>
    </w:p>
    <w:p>
      <w:pPr>
        <w:pStyle w:val="Nivel1"/>
        <w:suppressAutoHyphens w:val="true"/>
        <w:spacing w:lineRule="auto" w:line="240" w:before="0" w:after="0"/>
        <w:ind w:left="0" w:right="0" w:hanging="0"/>
        <w:rPr/>
      </w:pPr>
      <w:r>
        <w:rPr>
          <w:rFonts w:ascii="Verdana" w:hAnsi="Verdana"/>
          <w:i w:val="false"/>
          <w:iCs w:val="false"/>
          <w:sz w:val="22"/>
          <w:szCs w:val="22"/>
        </w:rPr>
        <w:t>5. ENTREGA E CRITÉRIOS DE ACEITAÇÃO DO OBJETO.</w:t>
      </w:r>
    </w:p>
    <w:p>
      <w:pPr>
        <w:pStyle w:val="Normal"/>
        <w:widowControl/>
        <w:suppressAutoHyphens w:val="true"/>
        <w:overflowPunct w:val="false"/>
        <w:bidi w:val="0"/>
        <w:spacing w:lineRule="auto" w:line="240" w:before="0" w:after="0"/>
        <w:ind w:left="0" w:right="0" w:firstLine="57"/>
        <w:jc w:val="both"/>
        <w:rPr/>
      </w:pPr>
      <w:r>
        <w:rPr>
          <w:rFonts w:cs="Arial" w:ascii="Verdana" w:hAnsi="Verdana"/>
          <w:b w:val="false"/>
          <w:bCs w:val="false"/>
          <w:sz w:val="22"/>
          <w:szCs w:val="22"/>
        </w:rPr>
        <w:t xml:space="preserve">5.1 </w:t>
      </w:r>
      <w:r>
        <w:rPr>
          <w:rFonts w:eastAsia="Arial" w:cs="Arial" w:ascii="Verdana" w:hAnsi="Verdana"/>
          <w:b w:val="false"/>
          <w:bCs w:val="false"/>
          <w:sz w:val="22"/>
          <w:szCs w:val="22"/>
        </w:rPr>
        <w:t>Os gêneros perecíveis deverão ser apresentados no depósito do SEMAE, localizado na Sede da escola Polivalente, Rua Eli Cardoso, s/nº, Bairro Centro, nesta cidade, juntamente com a Nota Fiscal para avaliação da qualidade e conferência do item com a descrição solicitada no Edital de Licitação; após, serão liberados para serem entregues diretamente nas escolas conforme cronogramas de entrega;</w:t>
      </w:r>
    </w:p>
    <w:p>
      <w:pPr>
        <w:pStyle w:val="Normal"/>
        <w:widowControl/>
        <w:suppressAutoHyphens w:val="true"/>
        <w:overflowPunct w:val="false"/>
        <w:bidi w:val="0"/>
        <w:spacing w:lineRule="auto" w:line="240" w:before="0" w:after="0"/>
        <w:ind w:left="0" w:right="0" w:hanging="0"/>
        <w:jc w:val="both"/>
        <w:rPr/>
      </w:pPr>
      <w:r>
        <w:rPr>
          <w:rFonts w:eastAsia="Arial" w:cs="Arial" w:ascii="Verdana" w:hAnsi="Verdana"/>
          <w:b w:val="false"/>
          <w:bCs w:val="false"/>
          <w:sz w:val="22"/>
          <w:szCs w:val="22"/>
        </w:rPr>
        <w:t>5.2 Os gêneros não perecíveis deverão ser entregues diretamente no depósito do SEMAE, localizado na Sede da escola Polivalente, Rua Eli Cardoso, s/nº, Bairro Centro, nesta cidade, juntamente com a Nota Fiscal conforme cronograma de entrega.</w:t>
      </w:r>
    </w:p>
    <w:p>
      <w:pPr>
        <w:pStyle w:val="Normal"/>
        <w:spacing w:lineRule="auto" w:line="240"/>
        <w:ind w:left="110" w:hanging="110"/>
        <w:jc w:val="both"/>
        <w:rPr/>
      </w:pPr>
      <w:r>
        <w:rPr>
          <w:rFonts w:cs="Arial" w:ascii="Verdana" w:hAnsi="Verdana"/>
          <w:b w:val="false"/>
          <w:bCs w:val="false"/>
          <w:sz w:val="22"/>
          <w:szCs w:val="22"/>
        </w:rPr>
        <w:t>5.3 A entrega deverá ocorrer sem qualquer ônus adicional, bem como a descarga e todas as demais despesas provenientes da mesma.</w:t>
      </w:r>
    </w:p>
    <w:p>
      <w:pPr>
        <w:pStyle w:val="Normal"/>
        <w:spacing w:lineRule="auto" w:line="240"/>
        <w:ind w:left="110" w:hanging="110"/>
        <w:jc w:val="both"/>
        <w:rPr/>
      </w:pPr>
      <w:r>
        <w:rPr>
          <w:rFonts w:cs="Arial" w:ascii="Verdana" w:hAnsi="Verdana"/>
          <w:b w:val="false"/>
          <w:bCs w:val="false"/>
          <w:sz w:val="22"/>
          <w:szCs w:val="22"/>
        </w:rPr>
        <w:t>5.4 A Empresa vencedora garantirá a qualidade dos materiais obrigando-se a repor aquele que apresentar defeito ou for entregue em desacordo com o apresentado na proposta.</w:t>
      </w:r>
    </w:p>
    <w:p>
      <w:pPr>
        <w:pStyle w:val="Normal"/>
        <w:widowControl/>
        <w:suppressAutoHyphens w:val="true"/>
        <w:overflowPunct w:val="false"/>
        <w:bidi w:val="0"/>
        <w:spacing w:lineRule="auto" w:line="240" w:before="0" w:after="0"/>
        <w:ind w:left="0" w:right="0" w:hanging="57"/>
        <w:jc w:val="both"/>
        <w:rPr/>
      </w:pPr>
      <w:r>
        <w:rPr>
          <w:rFonts w:cs="Arial" w:ascii="Verdana" w:hAnsi="Verdana"/>
          <w:b w:val="false"/>
          <w:bCs w:val="false"/>
          <w:sz w:val="22"/>
          <w:szCs w:val="22"/>
        </w:rPr>
        <w:t>5.5 Os itens deverão ser entregues dentro do horário de expediente do setor de alimentação escolar e das escolas sendo de 7h as 17h, observando feriados e pontos facultativos.</w:t>
      </w:r>
    </w:p>
    <w:p>
      <w:pPr>
        <w:pStyle w:val="Normal"/>
        <w:widowControl/>
        <w:suppressAutoHyphens w:val="true"/>
        <w:overflowPunct w:val="false"/>
        <w:bidi w:val="0"/>
        <w:spacing w:lineRule="auto" w:line="240" w:before="0" w:after="0"/>
        <w:ind w:left="0" w:right="0" w:hanging="57"/>
        <w:jc w:val="both"/>
        <w:rPr/>
      </w:pPr>
      <w:r>
        <w:rPr>
          <w:rFonts w:cs="Arial" w:ascii="Verdana" w:hAnsi="Verdana"/>
          <w:b w:val="false"/>
          <w:bCs w:val="false"/>
          <w:sz w:val="22"/>
          <w:szCs w:val="22"/>
        </w:rPr>
        <w:t xml:space="preserve">5.6 A Empresa vencedora garantirá a qualidade dos itens obrigando-se a repor aquele que apresentar defeito ou for entregue em desacordo com o apresentado na proposta; </w:t>
      </w:r>
    </w:p>
    <w:p>
      <w:pPr>
        <w:pStyle w:val="Normal"/>
        <w:widowControl/>
        <w:suppressAutoHyphens w:val="true"/>
        <w:overflowPunct w:val="false"/>
        <w:bidi w:val="0"/>
        <w:spacing w:lineRule="auto" w:line="240" w:before="0" w:after="0"/>
        <w:ind w:left="0" w:right="0" w:hanging="57"/>
        <w:jc w:val="both"/>
        <w:rPr/>
      </w:pPr>
      <w:r>
        <w:rPr>
          <w:rFonts w:cs="Arial" w:ascii="Verdana" w:hAnsi="Verdana"/>
          <w:b w:val="false"/>
          <w:bCs w:val="false"/>
          <w:sz w:val="22"/>
          <w:szCs w:val="22"/>
        </w:rPr>
        <w:t>5.7 O material deverá ser entregue nas mesmas marcas indicadas nas propostas de preços vencedoras do certame e especificações constantes nas solicitações de compras.</w:t>
      </w:r>
    </w:p>
    <w:p>
      <w:pPr>
        <w:pStyle w:val="Normal"/>
        <w:widowControl/>
        <w:suppressAutoHyphens w:val="true"/>
        <w:overflowPunct w:val="false"/>
        <w:bidi w:val="0"/>
        <w:spacing w:lineRule="auto" w:line="240" w:before="0" w:after="0"/>
        <w:ind w:left="0" w:right="0" w:hanging="57"/>
        <w:jc w:val="both"/>
        <w:rPr/>
      </w:pPr>
      <w:r>
        <w:rPr>
          <w:rFonts w:cs="Arial" w:ascii="Verdana" w:hAnsi="Verdana"/>
          <w:b w:val="false"/>
          <w:bCs w:val="false"/>
          <w:sz w:val="22"/>
          <w:szCs w:val="22"/>
        </w:rPr>
        <w:t>5.8 O recebimento provisório do material entregue dar-se-á pela conferência com a descrição constante da ordem de fornecimento ou serviço;</w:t>
      </w:r>
    </w:p>
    <w:p>
      <w:pPr>
        <w:pStyle w:val="Normal"/>
        <w:widowControl/>
        <w:suppressAutoHyphens w:val="true"/>
        <w:overflowPunct w:val="false"/>
        <w:bidi w:val="0"/>
        <w:spacing w:lineRule="auto" w:line="240" w:before="0" w:after="0"/>
        <w:ind w:left="0" w:right="0" w:hanging="57"/>
        <w:jc w:val="both"/>
        <w:rPr/>
      </w:pPr>
      <w:r>
        <w:rPr>
          <w:rFonts w:cs="Arial" w:ascii="Verdana" w:hAnsi="Verdana"/>
          <w:b w:val="false"/>
          <w:bCs w:val="false"/>
          <w:sz w:val="22"/>
          <w:szCs w:val="22"/>
        </w:rPr>
        <w:t>5.9 O recebimento definitivo ocorrerá com a verificação integral de todos os itens e características do produto fornecido pela CONTRATADA;</w:t>
      </w:r>
    </w:p>
    <w:p>
      <w:pPr>
        <w:pStyle w:val="Normal"/>
        <w:widowControl/>
        <w:suppressAutoHyphens w:val="true"/>
        <w:overflowPunct w:val="false"/>
        <w:bidi w:val="0"/>
        <w:spacing w:lineRule="auto" w:line="240" w:before="0" w:after="0"/>
        <w:ind w:left="0" w:right="0" w:hanging="57"/>
        <w:jc w:val="both"/>
        <w:rPr/>
      </w:pPr>
      <w:r>
        <w:rPr>
          <w:rFonts w:cs="Arial" w:ascii="Verdana" w:hAnsi="Verdana"/>
          <w:b w:val="false"/>
          <w:bCs w:val="false"/>
          <w:sz w:val="22"/>
          <w:szCs w:val="22"/>
        </w:rPr>
        <w:t>5.10 O recebimento definitivo não isenta a CONTRATADA de responsabilidades futuras quanto à qualidade dos fornecimentos e serviços prestados.</w:t>
      </w:r>
    </w:p>
    <w:p>
      <w:pPr>
        <w:pStyle w:val="Normal"/>
        <w:widowControl/>
        <w:suppressAutoHyphens w:val="true"/>
        <w:overflowPunct w:val="false"/>
        <w:bidi w:val="0"/>
        <w:spacing w:lineRule="auto" w:line="240" w:before="0" w:after="0"/>
        <w:ind w:left="0" w:right="0" w:hanging="57"/>
        <w:jc w:val="both"/>
        <w:rPr/>
      </w:pPr>
      <w:r>
        <w:rPr>
          <w:rFonts w:cs="Arial" w:ascii="Verdana" w:hAnsi="Verdana"/>
          <w:b w:val="false"/>
          <w:bCs w:val="false"/>
          <w:sz w:val="22"/>
          <w:szCs w:val="22"/>
        </w:rPr>
        <w:t>5.11 O recebimento provisório dos produtos não implica em aceitação dos mesmos;</w:t>
      </w:r>
    </w:p>
    <w:p>
      <w:pPr>
        <w:pStyle w:val="Normal"/>
        <w:widowControl/>
        <w:suppressAutoHyphens w:val="true"/>
        <w:overflowPunct w:val="false"/>
        <w:bidi w:val="0"/>
        <w:spacing w:lineRule="auto" w:line="240" w:before="0" w:after="0"/>
        <w:ind w:left="0" w:right="0" w:hanging="57"/>
        <w:jc w:val="both"/>
        <w:rPr/>
      </w:pPr>
      <w:r>
        <w:rPr>
          <w:rFonts w:cs="Arial" w:ascii="Verdana" w:hAnsi="Verdana"/>
          <w:b w:val="false"/>
          <w:bCs w:val="false"/>
          <w:sz w:val="22"/>
          <w:szCs w:val="22"/>
        </w:rPr>
        <w:t>5.12 Os produtos que não estiverem de acordo com as especificações exigidas, apresentem vicio de qualidade ou impropriedade para o uso, serão recusadas e devolvidas parcial ou totalmente, conforme caso, ficando a CONTRATADA, obrigada a substitui-los no prazo de 5 (cinco) dias úteis, contadas do recebimento da notificação escrita, sob pena de incorrer em atraso quanto ao prazo de execução;</w:t>
      </w:r>
    </w:p>
    <w:p>
      <w:pPr>
        <w:pStyle w:val="Normal"/>
        <w:widowControl/>
        <w:suppressAutoHyphens w:val="true"/>
        <w:overflowPunct w:val="false"/>
        <w:bidi w:val="0"/>
        <w:spacing w:lineRule="auto" w:line="240" w:before="0" w:after="0"/>
        <w:ind w:left="0" w:right="0" w:hanging="57"/>
        <w:jc w:val="both"/>
        <w:rPr/>
      </w:pPr>
      <w:r>
        <w:rPr>
          <w:rFonts w:cs="Arial" w:ascii="Verdana" w:hAnsi="Verdana"/>
          <w:b w:val="false"/>
          <w:bCs w:val="false"/>
          <w:sz w:val="22"/>
          <w:szCs w:val="22"/>
        </w:rPr>
        <w:t>5.13 Havendo erro na Nota Fiscal ou outra circunstância impeditiva, o recebimento definitivo será suspenso, até que a empresa tome as medidas saneadoras necessárias;</w:t>
      </w:r>
    </w:p>
    <w:p>
      <w:pPr>
        <w:pStyle w:val="Normal"/>
        <w:spacing w:lineRule="auto" w:line="240"/>
        <w:ind w:left="110" w:hanging="110"/>
        <w:jc w:val="both"/>
        <w:rPr>
          <w:rFonts w:ascii="Verdana" w:hAnsi="Verdana" w:cs="Arial"/>
          <w:sz w:val="22"/>
          <w:szCs w:val="22"/>
        </w:rPr>
      </w:pPr>
      <w:r>
        <w:rPr>
          <w:rFonts w:cs="Arial" w:ascii="Verdana" w:hAnsi="Verdana"/>
          <w:sz w:val="22"/>
          <w:szCs w:val="22"/>
        </w:rPr>
      </w:r>
    </w:p>
    <w:p>
      <w:pPr>
        <w:pStyle w:val="Normal"/>
        <w:spacing w:lineRule="auto" w:line="240"/>
        <w:ind w:left="0" w:right="0" w:hanging="0"/>
        <w:jc w:val="both"/>
        <w:rPr/>
      </w:pPr>
      <w:r>
        <w:rPr>
          <w:rFonts w:ascii="Verdana" w:hAnsi="Verdana"/>
          <w:b/>
          <w:bCs/>
          <w:sz w:val="22"/>
          <w:szCs w:val="22"/>
        </w:rPr>
        <w:t>5.1. DAS AMOSTRAS</w:t>
      </w:r>
    </w:p>
    <w:p>
      <w:pPr>
        <w:pStyle w:val="Normal"/>
        <w:widowControl/>
        <w:overflowPunct w:val="false"/>
        <w:bidi w:val="0"/>
        <w:spacing w:lineRule="auto" w:line="240" w:before="0" w:after="0"/>
        <w:ind w:left="-57" w:right="0" w:firstLine="57"/>
        <w:jc w:val="both"/>
        <w:rPr/>
      </w:pPr>
      <w:r>
        <w:rPr>
          <w:rFonts w:cs="Arial" w:ascii="Verdana" w:hAnsi="Verdana"/>
          <w:b w:val="false"/>
          <w:bCs w:val="false"/>
          <w:sz w:val="22"/>
          <w:szCs w:val="22"/>
        </w:rPr>
        <w:t>5.1. As amostras deverão ser apresentadas em no Máximo 2 (dois) dias úteis após o certame licitatório, podendo o prazo ser prorrogado ou a entrega ser dispensada, a pedido da contratante, desde que através de solicitação devidamente justificada e aceita;</w:t>
      </w:r>
    </w:p>
    <w:p>
      <w:pPr>
        <w:pStyle w:val="Normal"/>
        <w:widowControl/>
        <w:overflowPunct w:val="false"/>
        <w:bidi w:val="0"/>
        <w:spacing w:lineRule="auto" w:line="240" w:before="0" w:after="0"/>
        <w:ind w:left="-57" w:right="0" w:firstLine="57"/>
        <w:jc w:val="both"/>
        <w:rPr/>
      </w:pPr>
      <w:r>
        <w:rPr>
          <w:rFonts w:cs="Arial" w:ascii="Verdana" w:hAnsi="Verdana"/>
          <w:b w:val="false"/>
          <w:bCs w:val="false"/>
          <w:sz w:val="22"/>
          <w:szCs w:val="22"/>
        </w:rPr>
        <w:t>5.2. Os produtos apresentados como amostras poderão ser abertos, manuseados e consumidos;</w:t>
      </w:r>
    </w:p>
    <w:p>
      <w:pPr>
        <w:pStyle w:val="Normal"/>
        <w:widowControl/>
        <w:suppressAutoHyphens w:val="false"/>
        <w:overflowPunct w:val="false"/>
        <w:bidi w:val="0"/>
        <w:spacing w:lineRule="auto" w:line="240" w:before="0" w:after="0"/>
        <w:ind w:left="-57" w:right="0" w:firstLine="57"/>
        <w:jc w:val="both"/>
        <w:rPr/>
      </w:pPr>
      <w:r>
        <w:rPr>
          <w:rFonts w:cs="Arial" w:ascii="Verdana" w:hAnsi="Verdana"/>
          <w:b w:val="false"/>
          <w:bCs w:val="false"/>
          <w:sz w:val="22"/>
          <w:szCs w:val="22"/>
        </w:rPr>
        <w:t>5.3. A amostra apresentada, não será em hipótese alguma, considerada como início de entrega dos gêneros;</w:t>
      </w:r>
    </w:p>
    <w:p>
      <w:pPr>
        <w:pStyle w:val="Normal"/>
        <w:widowControl/>
        <w:suppressAutoHyphens w:val="false"/>
        <w:overflowPunct w:val="false"/>
        <w:bidi w:val="0"/>
        <w:spacing w:lineRule="auto" w:line="240" w:before="0" w:after="0"/>
        <w:ind w:left="-57" w:right="0" w:firstLine="57"/>
        <w:jc w:val="both"/>
        <w:rPr/>
      </w:pPr>
      <w:r>
        <w:rPr>
          <w:rFonts w:ascii="Verdana" w:hAnsi="Verdana"/>
          <w:b w:val="false"/>
          <w:bCs w:val="false"/>
          <w:sz w:val="22"/>
          <w:szCs w:val="22"/>
        </w:rPr>
        <w:t>5.4. As amostras serão avaliadas pela Comissão do Núcleo de Promoção da Qualidade da Alim</w:t>
      </w:r>
      <w:r>
        <w:rPr>
          <w:rFonts w:ascii="Verdana" w:hAnsi="Verdana"/>
          <w:bCs w:val="false"/>
          <w:sz w:val="22"/>
          <w:szCs w:val="22"/>
        </w:rPr>
        <w:t>entação Escolar, apresentado o resultado em laudo escrito.</w:t>
      </w:r>
    </w:p>
    <w:p>
      <w:pPr>
        <w:pStyle w:val="Normal"/>
        <w:spacing w:lineRule="auto" w:line="240"/>
        <w:ind w:left="0" w:right="0" w:hanging="0"/>
        <w:jc w:val="both"/>
        <w:rPr/>
      </w:pPr>
      <w:r>
        <w:rPr>
          <w:rFonts w:cs="Arial" w:ascii="Verdana" w:hAnsi="Verdana"/>
          <w:b w:val="false"/>
          <w:bCs w:val="false"/>
          <w:sz w:val="22"/>
          <w:szCs w:val="22"/>
        </w:rPr>
        <w:t>5.2. LOCAL DA ENTREGA</w:t>
      </w:r>
    </w:p>
    <w:p>
      <w:pPr>
        <w:pStyle w:val="Normal1"/>
        <w:spacing w:lineRule="auto" w:line="240"/>
        <w:ind w:left="110" w:hanging="110"/>
        <w:jc w:val="both"/>
        <w:rPr/>
      </w:pPr>
      <w:r>
        <w:rPr>
          <w:rFonts w:eastAsia="Arial" w:cs="Arial" w:ascii="Verdana" w:hAnsi="Verdana"/>
          <w:sz w:val="22"/>
          <w:szCs w:val="22"/>
        </w:rPr>
        <w:t xml:space="preserve">Rua: Eli Cardoso, S/Nº – Bairro Centro - Sede da Escola (Polivalente). </w:t>
      </w:r>
    </w:p>
    <w:p>
      <w:pPr>
        <w:pStyle w:val="Normal1"/>
        <w:spacing w:lineRule="auto" w:line="240"/>
        <w:ind w:left="110" w:hanging="110"/>
        <w:jc w:val="both"/>
        <w:rPr/>
      </w:pPr>
      <w:r>
        <w:rPr>
          <w:rFonts w:eastAsia="Arial" w:cs="Arial" w:ascii="Verdana" w:hAnsi="Verdana"/>
          <w:sz w:val="22"/>
          <w:szCs w:val="22"/>
        </w:rPr>
        <w:t>SEMAE – Setor de Merenda Escolar.</w:t>
      </w:r>
    </w:p>
    <w:p>
      <w:pPr>
        <w:pStyle w:val="Normal1"/>
        <w:spacing w:lineRule="auto" w:line="240"/>
        <w:ind w:left="110" w:hanging="110"/>
        <w:jc w:val="both"/>
        <w:rPr/>
      </w:pPr>
      <w:r>
        <w:rPr>
          <w:rFonts w:eastAsia="Arial" w:cs="Arial" w:ascii="Verdana" w:hAnsi="Verdana"/>
          <w:sz w:val="22"/>
          <w:szCs w:val="22"/>
        </w:rPr>
        <w:t>São Gabriel da Palha – ES</w:t>
      </w:r>
    </w:p>
    <w:p>
      <w:pPr>
        <w:pStyle w:val="Normal1"/>
        <w:spacing w:lineRule="auto" w:line="240"/>
        <w:ind w:left="110" w:hanging="110"/>
        <w:jc w:val="both"/>
        <w:rPr/>
      </w:pPr>
      <w:r>
        <w:rPr>
          <w:rFonts w:eastAsia="Arial" w:cs="Arial" w:ascii="Verdana" w:hAnsi="Verdana"/>
          <w:bCs/>
        </w:rPr>
        <w:t>CEP 29.7800-000</w:t>
      </w:r>
    </w:p>
    <w:p>
      <w:pPr>
        <w:pStyle w:val="Normal"/>
        <w:spacing w:lineRule="auto" w:line="240"/>
        <w:ind w:left="110" w:hanging="110"/>
        <w:jc w:val="both"/>
        <w:rPr/>
      </w:pPr>
      <w:r>
        <w:rPr>
          <w:rFonts w:cs="Arial" w:ascii="Verdana" w:hAnsi="Verdana"/>
          <w:b w:val="false"/>
          <w:bCs w:val="false"/>
          <w:sz w:val="22"/>
          <w:szCs w:val="22"/>
        </w:rPr>
        <w:t>5.3. CONTATO</w:t>
      </w:r>
    </w:p>
    <w:p>
      <w:pPr>
        <w:pStyle w:val="Normal"/>
        <w:spacing w:lineRule="auto" w:line="240"/>
        <w:ind w:left="110" w:hanging="110"/>
        <w:jc w:val="both"/>
        <w:rPr/>
      </w:pPr>
      <w:r>
        <w:rPr>
          <w:rFonts w:cs="Arial" w:ascii="Verdana" w:hAnsi="Verdana"/>
          <w:b w:val="false"/>
          <w:bCs w:val="false"/>
          <w:sz w:val="22"/>
          <w:szCs w:val="22"/>
        </w:rPr>
        <w:t>Tel: 27 3727-3993</w:t>
      </w:r>
    </w:p>
    <w:p>
      <w:pPr>
        <w:pStyle w:val="Normal"/>
        <w:spacing w:lineRule="auto" w:line="240"/>
        <w:ind w:left="110" w:hanging="110"/>
        <w:jc w:val="both"/>
        <w:rPr/>
      </w:pPr>
      <w:r>
        <w:rPr>
          <w:rFonts w:cs="Arial" w:ascii="Verdana" w:hAnsi="Verdana"/>
          <w:b w:val="false"/>
          <w:bCs w:val="false"/>
          <w:sz w:val="22"/>
          <w:szCs w:val="22"/>
        </w:rPr>
        <w:t>Email: financeirosemecsgp@gmail.com</w:t>
      </w:r>
    </w:p>
    <w:p>
      <w:pPr>
        <w:pStyle w:val="Normal"/>
        <w:spacing w:lineRule="auto" w:line="240"/>
        <w:ind w:left="110" w:hanging="110"/>
        <w:jc w:val="both"/>
        <w:rPr/>
      </w:pPr>
      <w:r>
        <w:rPr>
          <w:rFonts w:cs="Arial" w:ascii="Verdana" w:hAnsi="Verdana"/>
          <w:b w:val="false"/>
          <w:bCs w:val="false"/>
          <w:sz w:val="22"/>
          <w:szCs w:val="22"/>
          <w:u w:val="none"/>
        </w:rPr>
        <w:t>Responsável: Secretaria Municipal de Educação e SEMAE – Setor de Alimentação Escolar.</w:t>
      </w:r>
    </w:p>
    <w:p>
      <w:pPr>
        <w:pStyle w:val="Normal"/>
        <w:spacing w:lineRule="auto" w:line="240"/>
        <w:ind w:left="0" w:right="0" w:hanging="0"/>
        <w:jc w:val="both"/>
        <w:rPr>
          <w:rFonts w:ascii="Verdana" w:hAnsi="Verdana" w:cs="Arial"/>
          <w:b w:val="false"/>
          <w:bCs w:val="false"/>
          <w:sz w:val="22"/>
          <w:szCs w:val="22"/>
          <w:u w:val="single"/>
        </w:rPr>
      </w:pPr>
      <w:r>
        <w:rPr>
          <w:rFonts w:cs="Arial" w:ascii="Verdana" w:hAnsi="Verdana"/>
          <w:b w:val="false"/>
          <w:bCs w:val="false"/>
          <w:sz w:val="22"/>
          <w:szCs w:val="22"/>
          <w:u w:val="single"/>
        </w:rPr>
      </w:r>
      <w:bookmarkStart w:id="1" w:name="page66R_mcid13"/>
      <w:bookmarkStart w:id="2" w:name="page66R_mcid131"/>
      <w:bookmarkStart w:id="3" w:name="page66R_mcid13"/>
      <w:bookmarkStart w:id="4" w:name="page66R_mcid131"/>
      <w:bookmarkEnd w:id="3"/>
      <w:bookmarkEnd w:id="4"/>
    </w:p>
    <w:p>
      <w:pPr>
        <w:pStyle w:val="Normal"/>
        <w:spacing w:lineRule="auto" w:line="240"/>
        <w:ind w:left="0" w:right="0" w:hanging="0"/>
        <w:jc w:val="both"/>
        <w:rPr/>
      </w:pPr>
      <w:r>
        <w:rPr>
          <w:rFonts w:cs="Arial" w:ascii="Verdana" w:hAnsi="Verdana"/>
          <w:b/>
          <w:bCs/>
          <w:i w:val="false"/>
          <w:iCs w:val="false"/>
          <w:color w:val="000000"/>
          <w:sz w:val="22"/>
          <w:szCs w:val="22"/>
        </w:rPr>
        <w:t>6. OBRIGAÇÕES DA CONTRATANTE</w:t>
      </w:r>
    </w:p>
    <w:p>
      <w:pPr>
        <w:pStyle w:val="Normal"/>
        <w:spacing w:lineRule="auto" w:line="240" w:before="57" w:after="57"/>
        <w:ind w:left="0" w:right="0" w:hanging="0"/>
        <w:jc w:val="both"/>
        <w:rPr/>
      </w:pPr>
      <w:r>
        <w:rPr>
          <w:rFonts w:eastAsia="Times New Roman" w:cs="Arial" w:ascii="Verdana" w:hAnsi="Verdana"/>
          <w:b w:val="false"/>
          <w:bCs w:val="false"/>
          <w:i w:val="false"/>
          <w:iCs w:val="false"/>
          <w:color w:val="000000"/>
          <w:sz w:val="22"/>
          <w:szCs w:val="22"/>
        </w:rPr>
        <w:t>6.1.</w:t>
      </w:r>
      <w:r>
        <w:rPr>
          <w:rFonts w:cs="Arial" w:ascii="Verdana" w:hAnsi="Verdana"/>
          <w:b/>
          <w:bCs/>
          <w:i w:val="false"/>
          <w:iCs w:val="false"/>
          <w:color w:val="000000"/>
          <w:sz w:val="22"/>
          <w:szCs w:val="22"/>
        </w:rPr>
        <w:t xml:space="preserve"> </w:t>
      </w:r>
      <w:r>
        <w:rPr>
          <w:rFonts w:cs="Arial" w:ascii="Verdana" w:hAnsi="Verdana"/>
          <w:b w:val="false"/>
          <w:bCs w:val="false"/>
          <w:i w:val="false"/>
          <w:iCs w:val="false"/>
          <w:color w:val="000000"/>
          <w:sz w:val="22"/>
          <w:szCs w:val="22"/>
        </w:rPr>
        <w:t>Receber os objetos no prazo e condições estabelecidas neste Termo de Referência, no contrato e seus anexos.</w:t>
      </w:r>
    </w:p>
    <w:p>
      <w:pPr>
        <w:pStyle w:val="Normal"/>
        <w:spacing w:lineRule="auto" w:line="240" w:before="57" w:after="57"/>
        <w:ind w:left="0" w:right="0" w:hanging="0"/>
        <w:jc w:val="both"/>
        <w:rPr/>
      </w:pPr>
      <w:r>
        <w:rPr>
          <w:rFonts w:ascii="Verdana" w:hAnsi="Verdana"/>
          <w:b w:val="false"/>
          <w:bCs w:val="false"/>
          <w:sz w:val="22"/>
          <w:szCs w:val="22"/>
        </w:rPr>
        <w:t>6</w:t>
      </w:r>
      <w:r>
        <w:rPr>
          <w:rFonts w:cs="Arial" w:ascii="Verdana" w:hAnsi="Verdana"/>
          <w:b w:val="false"/>
          <w:bCs w:val="false"/>
          <w:i w:val="false"/>
          <w:iCs w:val="false"/>
          <w:color w:val="000000"/>
          <w:sz w:val="22"/>
          <w:szCs w:val="22"/>
        </w:rPr>
        <w:t>.2</w:t>
      </w:r>
      <w:r>
        <w:rPr>
          <w:rFonts w:cs="Arial" w:ascii="Verdana" w:hAnsi="Verdana"/>
          <w:b/>
          <w:bCs/>
          <w:i w:val="false"/>
          <w:iCs w:val="false"/>
          <w:color w:val="000000"/>
          <w:sz w:val="22"/>
          <w:szCs w:val="22"/>
        </w:rPr>
        <w:t xml:space="preserve">. </w:t>
      </w:r>
      <w:r>
        <w:rPr>
          <w:rFonts w:cs="Arial" w:ascii="Verdana" w:hAnsi="Verdana"/>
          <w:b w:val="false"/>
          <w:bCs w:val="false"/>
          <w:i w:val="false"/>
          <w:iCs w:val="false"/>
          <w:color w:val="000000"/>
          <w:sz w:val="22"/>
          <w:szCs w:val="22"/>
        </w:rPr>
        <w:t xml:space="preserve">Verificar minuciosamente, no prazo fixado, a conformidade dos </w:t>
      </w:r>
      <w:r>
        <w:rPr>
          <w:rFonts w:eastAsia="Times New Roman" w:cs="Arial" w:ascii="Verdana" w:hAnsi="Verdana"/>
          <w:b w:val="false"/>
          <w:bCs w:val="false"/>
          <w:i w:val="false"/>
          <w:iCs w:val="false"/>
          <w:color w:val="000000"/>
          <w:sz w:val="22"/>
          <w:szCs w:val="22"/>
        </w:rPr>
        <w:t>gêneros alimentícios</w:t>
      </w:r>
      <w:bookmarkStart w:id="5" w:name="page68R_mcid7"/>
      <w:r>
        <w:rPr>
          <w:rFonts w:cs="Arial" w:ascii="Verdana" w:hAnsi="Verdana"/>
          <w:b w:val="false"/>
          <w:bCs w:val="false"/>
          <w:i w:val="false"/>
          <w:iCs w:val="false"/>
          <w:color w:val="000000"/>
          <w:sz w:val="22"/>
          <w:szCs w:val="22"/>
        </w:rPr>
        <w:t xml:space="preserve"> provisoriamente com as especificações constantes neste Termo de Referência, da proposta e contrato para fins de aceitação e recebimento definitivo.</w:t>
      </w:r>
    </w:p>
    <w:p>
      <w:pPr>
        <w:pStyle w:val="Normal"/>
        <w:spacing w:lineRule="auto" w:line="240" w:before="57" w:after="57"/>
        <w:ind w:left="0" w:right="0" w:hanging="0"/>
        <w:jc w:val="both"/>
        <w:rPr/>
      </w:pPr>
      <w:r>
        <w:rPr>
          <w:rFonts w:cs="Arial" w:ascii="Verdana" w:hAnsi="Verdana"/>
          <w:b w:val="false"/>
          <w:bCs w:val="false"/>
          <w:i w:val="false"/>
          <w:iCs w:val="false"/>
          <w:color w:val="000000"/>
          <w:sz w:val="22"/>
          <w:szCs w:val="22"/>
        </w:rPr>
        <w:t>6.3. Comunicar à Contratada, por escrito, sobre imperfeições, falhas ou irregularidades verificadas no objeto fornecido, para que seja substituído, reparado ou corrigido.</w:t>
      </w:r>
    </w:p>
    <w:p>
      <w:pPr>
        <w:pStyle w:val="Normal"/>
        <w:spacing w:lineRule="auto" w:line="240" w:before="57" w:after="57"/>
        <w:ind w:left="0" w:right="0" w:hanging="0"/>
        <w:jc w:val="both"/>
        <w:rPr/>
      </w:pPr>
      <w:r>
        <w:rPr>
          <w:rFonts w:cs="Arial" w:ascii="Verdana" w:hAnsi="Verdana"/>
          <w:b w:val="false"/>
          <w:bCs w:val="false"/>
          <w:i w:val="false"/>
          <w:iCs w:val="false"/>
          <w:color w:val="000000"/>
          <w:sz w:val="22"/>
          <w:szCs w:val="22"/>
        </w:rPr>
        <w:t>6.4. Acompanhar e fiscalizar o cumprimento das obrigações da Contratada, através de comissão/servidor especialmente designado.</w:t>
      </w:r>
    </w:p>
    <w:p>
      <w:pPr>
        <w:pStyle w:val="Normal"/>
        <w:spacing w:lineRule="auto" w:line="240" w:before="57" w:after="57"/>
        <w:ind w:left="0" w:right="0" w:hanging="0"/>
        <w:jc w:val="both"/>
        <w:rPr/>
      </w:pPr>
      <w:r>
        <w:rPr>
          <w:rFonts w:cs="Arial" w:ascii="Verdana" w:hAnsi="Verdana"/>
          <w:b w:val="false"/>
          <w:bCs w:val="false"/>
          <w:i w:val="false"/>
          <w:iCs w:val="false"/>
          <w:color w:val="000000"/>
          <w:sz w:val="22"/>
          <w:szCs w:val="22"/>
        </w:rPr>
        <w:t>6.5. Efetuar o pagamento à Contratada no valor correspondente ao fornecimento dos  gêneros alimentícios, no prazo e forma estabelecidos neste Termo de Referência, seus anexos e contrato.</w:t>
      </w:r>
    </w:p>
    <w:p>
      <w:pPr>
        <w:pStyle w:val="Normal"/>
        <w:spacing w:lineRule="auto" w:line="240" w:before="57" w:after="57"/>
        <w:ind w:left="0" w:right="0" w:hanging="0"/>
        <w:jc w:val="both"/>
        <w:rPr/>
      </w:pPr>
      <w:r>
        <w:rPr>
          <w:rFonts w:eastAsia="Times New Roman" w:cs="Arial" w:ascii="Verdana" w:hAnsi="Verdana"/>
          <w:b w:val="false"/>
          <w:bCs w:val="false"/>
          <w:i w:val="false"/>
          <w:iCs w:val="false"/>
          <w:color w:val="000000"/>
          <w:sz w:val="22"/>
          <w:szCs w:val="22"/>
        </w:rPr>
        <w:t xml:space="preserve">6.6. </w:t>
      </w:r>
      <w:r>
        <w:rPr>
          <w:rFonts w:cs="Arial" w:ascii="Verdana" w:hAnsi="Verdana"/>
          <w:b w:val="false"/>
          <w:bCs w:val="false"/>
          <w:i w:val="false"/>
          <w:iCs w:val="false"/>
          <w:color w:val="000000"/>
          <w:sz w:val="22"/>
          <w:szCs w:val="22"/>
        </w:rPr>
        <w:t xml:space="preserve">A Administração não responderá por quaisquer compromissos assumidos pela Contratada com terceiros, ainda que vinculados à execução </w:t>
      </w:r>
      <w:r>
        <w:rPr>
          <w:rFonts w:eastAsia="Times New Roman" w:cs="Arial" w:ascii="Verdana" w:hAnsi="Verdana"/>
          <w:b w:val="false"/>
          <w:bCs w:val="false"/>
          <w:i w:val="false"/>
          <w:iCs w:val="false"/>
          <w:color w:val="000000"/>
          <w:sz w:val="22"/>
          <w:szCs w:val="22"/>
        </w:rPr>
        <w:t>do presente contrato</w:t>
      </w:r>
      <w:r>
        <w:rPr>
          <w:rFonts w:cs="Arial" w:ascii="Verdana" w:hAnsi="Verdana"/>
          <w:b w:val="false"/>
          <w:bCs w:val="false"/>
          <w:i w:val="false"/>
          <w:iCs w:val="false"/>
          <w:color w:val="000000"/>
          <w:sz w:val="22"/>
          <w:szCs w:val="22"/>
        </w:rPr>
        <w:t>, bem como por qualquer dano causado a terceiros em decorrência de ato da Contratada, de seus empregados, prepostos ou subordinados.</w:t>
      </w:r>
    </w:p>
    <w:p>
      <w:pPr>
        <w:pStyle w:val="Normal"/>
        <w:spacing w:lineRule="auto" w:line="240"/>
        <w:ind w:left="0" w:right="0" w:hanging="0"/>
        <w:jc w:val="both"/>
        <w:rPr>
          <w:rFonts w:ascii="Verdana" w:hAnsi="Verdana"/>
          <w:sz w:val="22"/>
          <w:szCs w:val="22"/>
        </w:rPr>
      </w:pPr>
      <w:r>
        <w:rPr>
          <w:rFonts w:ascii="Verdana" w:hAnsi="Verdana"/>
          <w:sz w:val="22"/>
          <w:szCs w:val="22"/>
        </w:rPr>
      </w:r>
    </w:p>
    <w:p>
      <w:pPr>
        <w:pStyle w:val="Normal"/>
        <w:spacing w:lineRule="auto" w:line="240" w:before="0" w:after="0"/>
        <w:ind w:left="0" w:right="0" w:hanging="0"/>
        <w:jc w:val="both"/>
        <w:rPr/>
      </w:pPr>
      <w:bookmarkStart w:id="6" w:name="page68R_mcid17"/>
      <w:bookmarkEnd w:id="6"/>
      <w:r>
        <w:rPr>
          <w:rFonts w:cs="Arial" w:ascii="Verdana" w:hAnsi="Verdana"/>
          <w:b/>
          <w:bCs/>
          <w:i w:val="false"/>
          <w:iCs w:val="false"/>
          <w:color w:val="000000"/>
          <w:sz w:val="22"/>
          <w:szCs w:val="22"/>
        </w:rPr>
        <w:t>7. OBRIGAÇÕES DA CONTRATADA</w:t>
      </w:r>
    </w:p>
    <w:p>
      <w:pPr>
        <w:pStyle w:val="Normal"/>
        <w:spacing w:lineRule="auto" w:line="240"/>
        <w:ind w:left="0" w:right="0" w:hanging="0"/>
        <w:jc w:val="both"/>
        <w:rPr/>
      </w:pPr>
      <w:r>
        <w:rPr>
          <w:rFonts w:cs="Arial" w:ascii="Verdana" w:hAnsi="Verdana"/>
          <w:b w:val="false"/>
          <w:bCs w:val="false"/>
          <w:i w:val="false"/>
          <w:iCs w:val="false"/>
          <w:color w:val="000000"/>
          <w:sz w:val="22"/>
          <w:szCs w:val="22"/>
        </w:rPr>
        <w:t>7.1. A Contratada deve cumprir todas as obrigações constantes neste Termo de Referência, seus anexos, sua proposta e contrato, assumindo como exclusivamente seus os riscos e as despesas decorrentes da boa e perfeita execução do objeto.</w:t>
      </w:r>
    </w:p>
    <w:p>
      <w:pPr>
        <w:pStyle w:val="Normal"/>
        <w:spacing w:lineRule="auto" w:line="240"/>
        <w:ind w:left="0" w:right="0" w:hanging="0"/>
        <w:jc w:val="both"/>
        <w:rPr/>
      </w:pPr>
      <w:r>
        <w:rPr>
          <w:rFonts w:cs="Arial" w:ascii="Verdana" w:hAnsi="Verdana"/>
          <w:b w:val="false"/>
          <w:bCs w:val="false"/>
          <w:i w:val="false"/>
          <w:iCs w:val="false"/>
          <w:color w:val="000000"/>
          <w:sz w:val="22"/>
          <w:szCs w:val="22"/>
        </w:rPr>
        <w:t>7.2. Efetuar a entrega do objeto em perfeitas condições, conforme especificações, prazo e local constantes no Termo de Referência, seus anexos e contrato, acompanhado da respectiva nota fiscal, na qual constarão as indicações referentes a: marca, fabricante, modelo, procedência e prazo de validade.</w:t>
      </w:r>
    </w:p>
    <w:p>
      <w:pPr>
        <w:pStyle w:val="Normal"/>
        <w:spacing w:lineRule="auto" w:line="240"/>
        <w:ind w:left="0" w:right="0" w:hanging="0"/>
        <w:jc w:val="both"/>
        <w:rPr/>
      </w:pPr>
      <w:r>
        <w:rPr>
          <w:rFonts w:cs="Arial" w:ascii="Verdana" w:hAnsi="Verdana"/>
          <w:b w:val="false"/>
          <w:bCs w:val="false"/>
          <w:i w:val="false"/>
          <w:iCs w:val="false"/>
          <w:color w:val="000000"/>
          <w:sz w:val="22"/>
          <w:szCs w:val="22"/>
        </w:rPr>
        <w:t>7.3. Responsabilizar-se pelos vícios e danos decorrentes do objeto.</w:t>
      </w:r>
    </w:p>
    <w:p>
      <w:pPr>
        <w:pStyle w:val="Normal"/>
        <w:spacing w:lineRule="auto" w:line="240"/>
        <w:ind w:left="0" w:right="0" w:hanging="0"/>
        <w:jc w:val="both"/>
        <w:rPr/>
      </w:pPr>
      <w:r>
        <w:rPr>
          <w:rFonts w:cs="Arial" w:ascii="Verdana" w:hAnsi="Verdana"/>
          <w:b w:val="false"/>
          <w:bCs w:val="false"/>
          <w:i w:val="false"/>
          <w:iCs w:val="false"/>
          <w:color w:val="000000"/>
          <w:sz w:val="22"/>
          <w:szCs w:val="22"/>
        </w:rPr>
        <w:t>7.4.</w:t>
      </w:r>
      <w:r>
        <w:rPr>
          <w:rFonts w:cs="Arial" w:ascii="Verdana" w:hAnsi="Verdana"/>
          <w:b/>
          <w:bCs/>
          <w:i w:val="false"/>
          <w:iCs w:val="false"/>
          <w:color w:val="000000"/>
          <w:sz w:val="22"/>
          <w:szCs w:val="22"/>
        </w:rPr>
        <w:t xml:space="preserve"> </w:t>
      </w:r>
      <w:r>
        <w:rPr>
          <w:rFonts w:cs="Arial" w:ascii="Verdana" w:hAnsi="Verdana"/>
          <w:b w:val="false"/>
          <w:bCs w:val="false"/>
          <w:i w:val="false"/>
          <w:iCs w:val="false"/>
          <w:color w:val="000000"/>
          <w:sz w:val="22"/>
          <w:szCs w:val="22"/>
        </w:rPr>
        <w:t>Substituir, reparar ou corrigir, às suas expensas, no prazo fixado neste Termo de Referência, o objeto com avarias ou defeitos.</w:t>
      </w:r>
    </w:p>
    <w:p>
      <w:pPr>
        <w:pStyle w:val="Normal"/>
        <w:spacing w:lineRule="auto" w:line="240"/>
        <w:ind w:left="0" w:right="0" w:hanging="0"/>
        <w:jc w:val="both"/>
        <w:rPr/>
      </w:pPr>
      <w:r>
        <w:rPr>
          <w:rFonts w:eastAsia="Times New Roman" w:cs="Arial" w:ascii="Verdana" w:hAnsi="Verdana"/>
          <w:b w:val="false"/>
          <w:bCs w:val="false"/>
          <w:i w:val="false"/>
          <w:iCs w:val="false"/>
          <w:color w:val="000000"/>
          <w:sz w:val="22"/>
          <w:szCs w:val="22"/>
        </w:rPr>
        <w:t xml:space="preserve">7.5. </w:t>
      </w:r>
      <w:r>
        <w:rPr>
          <w:rFonts w:cs="Arial" w:ascii="Verdana" w:hAnsi="Verdana"/>
          <w:b w:val="false"/>
          <w:bCs w:val="false"/>
          <w:i w:val="false"/>
          <w:iCs w:val="false"/>
          <w:color w:val="000000"/>
          <w:sz w:val="22"/>
          <w:szCs w:val="22"/>
        </w:rPr>
        <w:t>Comunicar à Contratante, no prazo máximo de 12 (</w:t>
      </w:r>
      <w:r>
        <w:rPr>
          <w:rFonts w:eastAsia="Times New Roman" w:cs="Arial" w:ascii="Verdana" w:hAnsi="Verdana"/>
          <w:b w:val="false"/>
          <w:bCs w:val="false"/>
          <w:i w:val="false"/>
          <w:iCs w:val="false"/>
          <w:color w:val="000000"/>
          <w:sz w:val="22"/>
          <w:szCs w:val="22"/>
        </w:rPr>
        <w:t>doze</w:t>
      </w:r>
      <w:r>
        <w:rPr>
          <w:rFonts w:cs="Arial" w:ascii="Verdana" w:hAnsi="Verdana"/>
          <w:b w:val="false"/>
          <w:bCs w:val="false"/>
          <w:i w:val="false"/>
          <w:iCs w:val="false"/>
          <w:color w:val="000000"/>
          <w:sz w:val="22"/>
          <w:szCs w:val="22"/>
        </w:rPr>
        <w:t>) horas que antecede a data da entrega, os motivos que impossibilitem o cumprimento do prazo previsto, com a devida comprovação.</w:t>
      </w:r>
    </w:p>
    <w:p>
      <w:pPr>
        <w:pStyle w:val="Normal"/>
        <w:spacing w:lineRule="auto" w:line="240"/>
        <w:ind w:left="0" w:right="0" w:hanging="0"/>
        <w:jc w:val="both"/>
        <w:rPr/>
      </w:pPr>
      <w:r>
        <w:rPr>
          <w:rFonts w:eastAsia="Times New Roman" w:cs="Arial" w:ascii="Verdana" w:hAnsi="Verdana"/>
          <w:b w:val="false"/>
          <w:bCs w:val="false"/>
          <w:i w:val="false"/>
          <w:iCs w:val="false"/>
          <w:color w:val="000000"/>
          <w:sz w:val="22"/>
          <w:szCs w:val="22"/>
        </w:rPr>
        <w:t>7.6.</w:t>
      </w:r>
      <w:r>
        <w:rPr>
          <w:rFonts w:eastAsia="Times New Roman" w:cs="Arial" w:ascii="Verdana" w:hAnsi="Verdana"/>
          <w:b/>
          <w:bCs/>
          <w:i w:val="false"/>
          <w:iCs w:val="false"/>
          <w:color w:val="000000"/>
          <w:sz w:val="22"/>
          <w:szCs w:val="22"/>
        </w:rPr>
        <w:t xml:space="preserve"> </w:t>
      </w:r>
      <w:r>
        <w:rPr>
          <w:rFonts w:cs="Arial" w:ascii="Verdana" w:hAnsi="Verdana"/>
          <w:b w:val="false"/>
          <w:bCs w:val="false"/>
          <w:i w:val="false"/>
          <w:iCs w:val="false"/>
          <w:color w:val="000000"/>
          <w:sz w:val="22"/>
          <w:szCs w:val="22"/>
        </w:rPr>
        <w:t xml:space="preserve">Manter, durante toda a execução </w:t>
      </w:r>
      <w:r>
        <w:rPr>
          <w:rFonts w:eastAsia="Times New Roman" w:cs="Arial" w:ascii="Verdana" w:hAnsi="Verdana"/>
          <w:b w:val="false"/>
          <w:bCs w:val="false"/>
          <w:i w:val="false"/>
          <w:iCs w:val="false"/>
          <w:color w:val="000000"/>
          <w:sz w:val="22"/>
          <w:szCs w:val="22"/>
        </w:rPr>
        <w:t>do contrato</w:t>
      </w:r>
      <w:r>
        <w:rPr>
          <w:rFonts w:cs="Arial" w:ascii="Verdana" w:hAnsi="Verdana"/>
          <w:b w:val="false"/>
          <w:bCs w:val="false"/>
          <w:i w:val="false"/>
          <w:iCs w:val="false"/>
          <w:color w:val="000000"/>
          <w:sz w:val="22"/>
          <w:szCs w:val="22"/>
        </w:rPr>
        <w:t xml:space="preserve">, em compatibilidade com as obrigações assumidas, todas as condições de habilitação e qualificação exigidas </w:t>
      </w:r>
      <w:r>
        <w:rPr>
          <w:rFonts w:eastAsia="Times New Roman" w:cs="Arial" w:ascii="Verdana" w:hAnsi="Verdana"/>
          <w:b w:val="false"/>
          <w:bCs w:val="false"/>
          <w:i w:val="false"/>
          <w:iCs w:val="false"/>
          <w:color w:val="000000"/>
          <w:sz w:val="22"/>
          <w:szCs w:val="22"/>
        </w:rPr>
        <w:t>no chamamento público</w:t>
      </w:r>
      <w:r>
        <w:rPr>
          <w:rFonts w:cs="Arial" w:ascii="Verdana" w:hAnsi="Verdana"/>
          <w:b w:val="false"/>
          <w:bCs w:val="false"/>
          <w:i w:val="false"/>
          <w:iCs w:val="false"/>
          <w:color w:val="000000"/>
          <w:sz w:val="22"/>
          <w:szCs w:val="22"/>
        </w:rPr>
        <w:t>.</w:t>
      </w:r>
    </w:p>
    <w:p>
      <w:pPr>
        <w:pStyle w:val="Normal"/>
        <w:tabs>
          <w:tab w:val="clear" w:pos="708"/>
          <w:tab w:val="left" w:pos="0" w:leader="none"/>
        </w:tabs>
        <w:spacing w:lineRule="auto" w:line="240"/>
        <w:ind w:left="0" w:right="0" w:hanging="0"/>
        <w:jc w:val="both"/>
        <w:rPr/>
      </w:pPr>
      <w:r>
        <w:rPr>
          <w:rFonts w:eastAsia="Times New Roman" w:cs="Arial" w:ascii="Verdana" w:hAnsi="Verdana"/>
          <w:b w:val="false"/>
          <w:bCs w:val="false"/>
          <w:i w:val="false"/>
          <w:iCs w:val="false"/>
          <w:color w:val="000000"/>
          <w:sz w:val="22"/>
          <w:szCs w:val="22"/>
        </w:rPr>
        <w:t xml:space="preserve">7.7. </w:t>
      </w:r>
      <w:r>
        <w:rPr>
          <w:rFonts w:cs="Arial" w:ascii="Verdana" w:hAnsi="Verdana"/>
          <w:b w:val="false"/>
          <w:bCs w:val="false"/>
          <w:i w:val="false"/>
          <w:iCs w:val="false"/>
          <w:color w:val="000000"/>
          <w:sz w:val="22"/>
          <w:szCs w:val="22"/>
        </w:rPr>
        <w:t xml:space="preserve">Indicar preposto para representá-la durante a execução da ata </w:t>
      </w:r>
      <w:r>
        <w:rPr>
          <w:rFonts w:eastAsia="Times New Roman" w:cs="Arial" w:ascii="Verdana" w:hAnsi="Verdana"/>
          <w:b w:val="false"/>
          <w:bCs w:val="false"/>
          <w:i w:val="false"/>
          <w:iCs w:val="false"/>
          <w:color w:val="000000"/>
          <w:sz w:val="22"/>
          <w:szCs w:val="22"/>
        </w:rPr>
        <w:t>contrato</w:t>
      </w:r>
      <w:r>
        <w:rPr>
          <w:rFonts w:cs="Arial" w:ascii="Verdana" w:hAnsi="Verdana"/>
          <w:b w:val="false"/>
          <w:bCs w:val="false"/>
          <w:i w:val="false"/>
          <w:iCs w:val="false"/>
          <w:color w:val="000000"/>
          <w:sz w:val="22"/>
          <w:szCs w:val="22"/>
        </w:rPr>
        <w:t>.</w:t>
      </w:r>
    </w:p>
    <w:p>
      <w:pPr>
        <w:pStyle w:val="Normal"/>
        <w:tabs>
          <w:tab w:val="clear" w:pos="708"/>
          <w:tab w:val="left" w:pos="450" w:leader="none"/>
        </w:tabs>
        <w:spacing w:lineRule="auto" w:line="240"/>
        <w:ind w:left="0" w:right="0" w:hanging="0"/>
        <w:jc w:val="both"/>
        <w:rPr/>
      </w:pPr>
      <w:r>
        <w:rPr>
          <w:rFonts w:eastAsia="Times New Roman" w:cs="Arial" w:ascii="Verdana" w:hAnsi="Verdana"/>
          <w:b w:val="false"/>
          <w:bCs w:val="false"/>
          <w:i w:val="false"/>
          <w:iCs w:val="false"/>
          <w:color w:val="000000"/>
          <w:sz w:val="22"/>
          <w:szCs w:val="22"/>
        </w:rPr>
        <w:t>7.8.</w:t>
      </w:r>
      <w:r>
        <w:rPr>
          <w:rFonts w:eastAsia="Times New Roman" w:cs="Arial" w:ascii="Verdana" w:hAnsi="Verdana"/>
          <w:b/>
          <w:bCs/>
          <w:i w:val="false"/>
          <w:iCs w:val="false"/>
          <w:color w:val="000000"/>
          <w:sz w:val="22"/>
          <w:szCs w:val="22"/>
        </w:rPr>
        <w:t xml:space="preserve"> </w:t>
      </w:r>
      <w:r>
        <w:rPr>
          <w:rFonts w:cs="Arial" w:ascii="Verdana" w:hAnsi="Verdana"/>
          <w:b w:val="false"/>
          <w:bCs w:val="false"/>
          <w:i w:val="false"/>
          <w:iCs w:val="false"/>
          <w:color w:val="000000"/>
          <w:sz w:val="22"/>
          <w:szCs w:val="22"/>
        </w:rPr>
        <w:t>A CONTRATADA será responsável pela observância das leis, decretos, regulamentos, portarias e normas federais, estaduais e municipais direta e indiretamente aplicáveis ao objeto do contrato.</w:t>
      </w:r>
    </w:p>
    <w:p>
      <w:pPr>
        <w:pStyle w:val="Normal"/>
        <w:tabs>
          <w:tab w:val="clear" w:pos="708"/>
          <w:tab w:val="left" w:pos="450" w:leader="none"/>
        </w:tabs>
        <w:spacing w:lineRule="auto" w:line="240"/>
        <w:ind w:left="0" w:right="0" w:hanging="0"/>
        <w:jc w:val="both"/>
        <w:rPr/>
      </w:pPr>
      <w:r>
        <w:rPr>
          <w:rFonts w:cs="Arial" w:ascii="Verdana" w:hAnsi="Verdana"/>
          <w:b w:val="false"/>
          <w:bCs w:val="false"/>
          <w:i w:val="false"/>
          <w:iCs w:val="false"/>
          <w:color w:val="000000"/>
          <w:sz w:val="22"/>
          <w:szCs w:val="22"/>
        </w:rPr>
        <w:t>7.9. Durante a execução d</w:t>
      </w:r>
      <w:r>
        <w:rPr>
          <w:rFonts w:eastAsia="Times New Roman" w:cs="Arial" w:ascii="Verdana" w:hAnsi="Verdana"/>
          <w:b w:val="false"/>
          <w:bCs w:val="false"/>
          <w:i w:val="false"/>
          <w:iCs w:val="false"/>
          <w:color w:val="000000"/>
          <w:sz w:val="22"/>
          <w:szCs w:val="22"/>
        </w:rPr>
        <w:t>o contrato</w:t>
      </w:r>
      <w:r>
        <w:rPr>
          <w:rFonts w:cs="Arial" w:ascii="Verdana" w:hAnsi="Verdana"/>
          <w:b w:val="false"/>
          <w:bCs w:val="false"/>
          <w:i w:val="false"/>
          <w:iCs w:val="false"/>
          <w:color w:val="000000"/>
          <w:sz w:val="22"/>
          <w:szCs w:val="22"/>
        </w:rPr>
        <w:t>, a CONTRATADA deverá:</w:t>
      </w:r>
      <w:r>
        <w:rPr>
          <w:rFonts w:ascii="Verdana" w:hAnsi="Verdana"/>
          <w:sz w:val="22"/>
          <w:szCs w:val="22"/>
        </w:rPr>
        <w:br/>
      </w:r>
      <w:r>
        <w:rPr>
          <w:rFonts w:ascii="Verdana" w:hAnsi="Verdana"/>
          <w:b w:val="false"/>
          <w:bCs w:val="false"/>
          <w:sz w:val="22"/>
          <w:szCs w:val="22"/>
        </w:rPr>
        <w:t>7</w:t>
      </w:r>
      <w:r>
        <w:rPr>
          <w:rFonts w:eastAsia="Times New Roman" w:cs="Arial" w:ascii="Verdana" w:hAnsi="Verdana"/>
          <w:b w:val="false"/>
          <w:bCs w:val="false"/>
          <w:i w:val="false"/>
          <w:iCs w:val="false"/>
          <w:color w:val="000000"/>
          <w:sz w:val="22"/>
          <w:szCs w:val="22"/>
        </w:rPr>
        <w:t>.9.1.</w:t>
      </w:r>
      <w:r>
        <w:rPr>
          <w:rFonts w:cs="Arial" w:ascii="Verdana" w:hAnsi="Verdana"/>
          <w:b/>
          <w:bCs/>
          <w:i w:val="false"/>
          <w:iCs w:val="false"/>
          <w:color w:val="000000"/>
          <w:sz w:val="22"/>
          <w:szCs w:val="22"/>
        </w:rPr>
        <w:t xml:space="preserve"> </w:t>
      </w:r>
      <w:r>
        <w:rPr>
          <w:rFonts w:cs="Arial" w:ascii="Verdana" w:hAnsi="Verdana"/>
          <w:b w:val="false"/>
          <w:bCs w:val="false"/>
          <w:i w:val="false"/>
          <w:iCs w:val="false"/>
          <w:color w:val="000000"/>
          <w:sz w:val="22"/>
          <w:szCs w:val="22"/>
        </w:rPr>
        <w:t xml:space="preserve">Atender prontamente às solicitações </w:t>
      </w:r>
      <w:r>
        <w:rPr>
          <w:rFonts w:eastAsia="Times New Roman" w:cs="Arial" w:ascii="Verdana" w:hAnsi="Verdana"/>
          <w:b w:val="false"/>
          <w:bCs w:val="false"/>
          <w:i w:val="false"/>
          <w:iCs w:val="false"/>
          <w:color w:val="000000"/>
          <w:sz w:val="22"/>
          <w:szCs w:val="22"/>
        </w:rPr>
        <w:t>da secretaria requisitante nas</w:t>
      </w:r>
      <w:r>
        <w:rPr>
          <w:rFonts w:cs="Arial" w:ascii="Verdana" w:hAnsi="Verdana"/>
          <w:b w:val="false"/>
          <w:bCs w:val="false"/>
          <w:i w:val="false"/>
          <w:iCs w:val="false"/>
          <w:color w:val="000000"/>
          <w:sz w:val="22"/>
          <w:szCs w:val="22"/>
        </w:rPr>
        <w:t xml:space="preserve"> quantidades e especificações deste TERMO DE REFERÊNCIA e CONTRATO.</w:t>
      </w:r>
    </w:p>
    <w:p>
      <w:pPr>
        <w:pStyle w:val="Normal"/>
        <w:tabs>
          <w:tab w:val="clear" w:pos="708"/>
          <w:tab w:val="left" w:pos="0" w:leader="none"/>
        </w:tabs>
        <w:spacing w:lineRule="auto" w:line="240"/>
        <w:ind w:left="0" w:right="0" w:hanging="0"/>
        <w:jc w:val="both"/>
        <w:rPr/>
      </w:pPr>
      <w:r>
        <w:rPr>
          <w:rFonts w:eastAsia="Times New Roman" w:cs="Arial" w:ascii="Verdana" w:hAnsi="Verdana"/>
          <w:b w:val="false"/>
          <w:bCs w:val="false"/>
          <w:i w:val="false"/>
          <w:iCs w:val="false"/>
          <w:color w:val="000000"/>
          <w:sz w:val="22"/>
          <w:szCs w:val="22"/>
        </w:rPr>
        <w:t>7.9.</w:t>
      </w:r>
      <w:r>
        <w:rPr>
          <w:rFonts w:cs="Arial" w:ascii="Verdana" w:hAnsi="Verdana"/>
          <w:b w:val="false"/>
          <w:bCs w:val="false"/>
          <w:i w:val="false"/>
          <w:iCs w:val="false"/>
          <w:color w:val="000000"/>
          <w:sz w:val="22"/>
          <w:szCs w:val="22"/>
        </w:rPr>
        <w:t>2</w:t>
      </w:r>
      <w:r>
        <w:rPr>
          <w:rFonts w:cs="Arial" w:ascii="Verdana" w:hAnsi="Verdana"/>
          <w:b/>
          <w:bCs/>
          <w:i w:val="false"/>
          <w:iCs w:val="false"/>
          <w:color w:val="000000"/>
          <w:sz w:val="22"/>
          <w:szCs w:val="22"/>
        </w:rPr>
        <w:t xml:space="preserve">. </w:t>
      </w:r>
      <w:r>
        <w:rPr>
          <w:rFonts w:cs="Arial" w:ascii="Verdana" w:hAnsi="Verdana"/>
          <w:b w:val="false"/>
          <w:bCs w:val="false"/>
          <w:i w:val="false"/>
          <w:iCs w:val="false"/>
          <w:color w:val="000000"/>
          <w:sz w:val="22"/>
          <w:szCs w:val="22"/>
        </w:rPr>
        <w:t xml:space="preserve">Entregar os </w:t>
      </w:r>
      <w:r>
        <w:rPr>
          <w:rFonts w:eastAsia="Times New Roman" w:cs="Arial" w:ascii="Verdana" w:hAnsi="Verdana"/>
          <w:b w:val="false"/>
          <w:bCs w:val="false"/>
          <w:i w:val="false"/>
          <w:iCs w:val="false"/>
          <w:color w:val="000000"/>
          <w:sz w:val="22"/>
          <w:szCs w:val="22"/>
        </w:rPr>
        <w:t>gêneros alimentícios</w:t>
      </w:r>
      <w:r>
        <w:rPr>
          <w:rFonts w:cs="Arial" w:ascii="Verdana" w:hAnsi="Verdana"/>
          <w:b w:val="false"/>
          <w:bCs w:val="false"/>
          <w:i w:val="false"/>
          <w:iCs w:val="false"/>
          <w:color w:val="000000"/>
          <w:sz w:val="22"/>
          <w:szCs w:val="22"/>
        </w:rPr>
        <w:t xml:space="preserve"> acondicionados adequadamente, de forma a permitir completa segurança durante o transporte, acompanhado de nota fiscal, discriminado o quantitativo do produto, de acordo com as especificações técnicas.</w:t>
      </w:r>
    </w:p>
    <w:p>
      <w:pPr>
        <w:pStyle w:val="Normal"/>
        <w:tabs>
          <w:tab w:val="clear" w:pos="708"/>
          <w:tab w:val="left" w:pos="0" w:leader="none"/>
        </w:tabs>
        <w:spacing w:lineRule="auto" w:line="240"/>
        <w:ind w:left="0" w:right="0" w:hanging="0"/>
        <w:jc w:val="both"/>
        <w:rPr/>
      </w:pPr>
      <w:r>
        <w:rPr>
          <w:rFonts w:eastAsia="Times New Roman" w:cs="Arial" w:ascii="Verdana" w:hAnsi="Verdana"/>
          <w:b w:val="false"/>
          <w:bCs w:val="false"/>
          <w:i w:val="false"/>
          <w:iCs w:val="false"/>
          <w:color w:val="000000"/>
          <w:sz w:val="22"/>
          <w:szCs w:val="22"/>
        </w:rPr>
        <w:t xml:space="preserve">7.9.3. </w:t>
      </w:r>
      <w:r>
        <w:rPr>
          <w:rFonts w:cs="Arial" w:ascii="Verdana" w:hAnsi="Verdana"/>
          <w:b w:val="false"/>
          <w:bCs w:val="false"/>
          <w:i w:val="false"/>
          <w:iCs w:val="false"/>
          <w:color w:val="000000"/>
          <w:sz w:val="22"/>
          <w:szCs w:val="22"/>
        </w:rPr>
        <w:t>A nota fiscal deverá ser acompanhada pelas Certidões de Regularidades Fiscais, exigidos para a habilitação no procedimento licitatório.</w:t>
      </w:r>
      <w:r>
        <w:rPr>
          <w:rFonts w:ascii="Verdana" w:hAnsi="Verdana"/>
          <w:sz w:val="22"/>
          <w:szCs w:val="22"/>
        </w:rPr>
        <w:br/>
      </w:r>
      <w:r>
        <w:rPr>
          <w:rFonts w:ascii="Verdana" w:hAnsi="Verdana"/>
          <w:b w:val="false"/>
          <w:bCs w:val="false"/>
          <w:sz w:val="22"/>
          <w:szCs w:val="22"/>
        </w:rPr>
        <w:t>7</w:t>
      </w:r>
      <w:r>
        <w:rPr>
          <w:rFonts w:eastAsia="Times New Roman" w:cs="Arial" w:ascii="Verdana" w:hAnsi="Verdana"/>
          <w:b w:val="false"/>
          <w:bCs w:val="false"/>
          <w:i w:val="false"/>
          <w:iCs w:val="false"/>
          <w:color w:val="000000"/>
          <w:sz w:val="22"/>
          <w:szCs w:val="22"/>
        </w:rPr>
        <w:t xml:space="preserve">.9.4. </w:t>
      </w:r>
      <w:r>
        <w:rPr>
          <w:rFonts w:cs="Arial" w:ascii="Verdana" w:hAnsi="Verdana"/>
          <w:b w:val="false"/>
          <w:bCs w:val="false"/>
          <w:i w:val="false"/>
          <w:iCs w:val="false"/>
          <w:color w:val="000000"/>
          <w:sz w:val="22"/>
          <w:szCs w:val="22"/>
        </w:rPr>
        <w:t xml:space="preserve">Substituir quaisquer </w:t>
      </w:r>
      <w:r>
        <w:rPr>
          <w:rFonts w:eastAsia="Times New Roman" w:cs="Arial" w:ascii="Verdana" w:hAnsi="Verdana"/>
          <w:b w:val="false"/>
          <w:bCs w:val="false"/>
          <w:i w:val="false"/>
          <w:iCs w:val="false"/>
          <w:color w:val="000000"/>
          <w:sz w:val="22"/>
          <w:szCs w:val="22"/>
        </w:rPr>
        <w:t xml:space="preserve">item </w:t>
      </w:r>
      <w:r>
        <w:rPr>
          <w:rFonts w:cs="Arial" w:ascii="Verdana" w:hAnsi="Verdana"/>
          <w:b w:val="false"/>
          <w:bCs w:val="false"/>
          <w:i w:val="false"/>
          <w:iCs w:val="false"/>
          <w:color w:val="000000"/>
          <w:sz w:val="22"/>
          <w:szCs w:val="22"/>
        </w:rPr>
        <w:t xml:space="preserve"> que não esteja dentro do padrão de qualidade, em bom estado de conservação, que apresente defeito ou não esteja em conformidade com as especificações da proposta apresentada.</w:t>
      </w:r>
    </w:p>
    <w:p>
      <w:pPr>
        <w:pStyle w:val="Normal"/>
        <w:tabs>
          <w:tab w:val="clear" w:pos="708"/>
          <w:tab w:val="left" w:pos="0" w:leader="none"/>
        </w:tabs>
        <w:spacing w:lineRule="auto" w:line="240"/>
        <w:ind w:left="0" w:right="0" w:hanging="0"/>
        <w:jc w:val="both"/>
        <w:rPr/>
      </w:pPr>
      <w:r>
        <w:rPr>
          <w:rFonts w:cs="Arial" w:ascii="Verdana" w:hAnsi="Verdana"/>
          <w:b w:val="false"/>
          <w:bCs w:val="false"/>
          <w:i w:val="false"/>
          <w:iCs w:val="false"/>
          <w:color w:val="000000"/>
          <w:sz w:val="22"/>
          <w:szCs w:val="22"/>
        </w:rPr>
        <w:t>7.9.5. Ocorrendo erros na apresentação dos documentos fiscais ou outra circunstância impeditiva, os mesmos serão devolvidos à empresa contratada para correção, ficando estabelecido que o prazo para pagamento será contado a partir da data de apresentação do novo documento fiscal, devidamente corrigido;</w:t>
      </w:r>
    </w:p>
    <w:p>
      <w:pPr>
        <w:pStyle w:val="Normal"/>
        <w:tabs>
          <w:tab w:val="clear" w:pos="708"/>
          <w:tab w:val="left" w:pos="0" w:leader="none"/>
        </w:tabs>
        <w:spacing w:lineRule="auto" w:line="240"/>
        <w:ind w:left="0" w:right="0" w:hanging="0"/>
        <w:jc w:val="both"/>
        <w:rPr>
          <w:rFonts w:ascii="Verdana" w:hAnsi="Verdana" w:cs="Arial"/>
          <w:b/>
          <w:sz w:val="22"/>
          <w:szCs w:val="22"/>
          <w:u w:val="single"/>
        </w:rPr>
      </w:pPr>
      <w:r>
        <w:rPr>
          <w:rFonts w:cs="Arial" w:ascii="Verdana" w:hAnsi="Verdana"/>
          <w:b/>
          <w:sz w:val="22"/>
          <w:szCs w:val="22"/>
          <w:u w:val="single"/>
        </w:rPr>
      </w:r>
      <w:bookmarkStart w:id="7" w:name="page68R_mcid20"/>
      <w:bookmarkStart w:id="8" w:name="page68R_mcid201"/>
      <w:bookmarkStart w:id="9" w:name="page68R_mcid20"/>
      <w:bookmarkStart w:id="10" w:name="page68R_mcid201"/>
      <w:bookmarkEnd w:id="9"/>
      <w:bookmarkEnd w:id="10"/>
    </w:p>
    <w:p>
      <w:pPr>
        <w:pStyle w:val="Normal"/>
        <w:spacing w:lineRule="auto" w:line="240"/>
        <w:ind w:left="0" w:right="0" w:hanging="0"/>
        <w:jc w:val="both"/>
        <w:rPr/>
      </w:pPr>
      <w:bookmarkStart w:id="11" w:name="_GoBack111"/>
      <w:bookmarkStart w:id="12" w:name="page70R_mcid10"/>
      <w:bookmarkEnd w:id="11"/>
      <w:bookmarkEnd w:id="12"/>
      <w:r>
        <w:rPr>
          <w:rFonts w:cs="Arial" w:ascii="Verdana" w:hAnsi="Verdana"/>
          <w:b/>
          <w:bCs/>
          <w:i w:val="false"/>
          <w:iCs w:val="false"/>
          <w:color w:val="000000"/>
          <w:sz w:val="22"/>
          <w:szCs w:val="22"/>
        </w:rPr>
        <w:t>8. DO CONTROLE E FISCALIZAÇÃO DA EXECUÇÃO</w:t>
      </w:r>
    </w:p>
    <w:p>
      <w:pPr>
        <w:pStyle w:val="Normal"/>
        <w:spacing w:lineRule="auto" w:line="240"/>
        <w:ind w:left="0" w:right="0" w:hanging="0"/>
        <w:jc w:val="both"/>
        <w:rPr/>
      </w:pPr>
      <w:r>
        <w:rPr>
          <w:rFonts w:cs="Arial" w:ascii="Verdana" w:hAnsi="Verdana"/>
          <w:b w:val="false"/>
          <w:bCs w:val="false"/>
          <w:i w:val="false"/>
          <w:iCs w:val="false"/>
          <w:color w:val="000000"/>
          <w:sz w:val="22"/>
          <w:szCs w:val="22"/>
        </w:rPr>
        <w:t>8.1.</w:t>
      </w:r>
      <w:r>
        <w:rPr>
          <w:rFonts w:cs="Arial" w:ascii="Verdana" w:hAnsi="Verdana"/>
          <w:b/>
          <w:bCs/>
          <w:i w:val="false"/>
          <w:iCs w:val="false"/>
          <w:color w:val="000000"/>
          <w:sz w:val="22"/>
          <w:szCs w:val="22"/>
        </w:rPr>
        <w:t xml:space="preserve"> </w:t>
      </w:r>
      <w:r>
        <w:rPr>
          <w:rFonts w:cs="Arial" w:ascii="Verdana" w:hAnsi="Verdana"/>
          <w:b w:val="false"/>
          <w:bCs w:val="false"/>
          <w:i w:val="false"/>
          <w:iCs w:val="false"/>
          <w:color w:val="000000"/>
          <w:sz w:val="22"/>
          <w:szCs w:val="22"/>
        </w:rPr>
        <w:t>Será designado representante para acompanhar e fiscalizar a entrega d</w:t>
      </w:r>
      <w:r>
        <w:rPr>
          <w:rFonts w:eastAsia="Times New Roman" w:cs="Arial" w:ascii="Verdana" w:hAnsi="Verdana"/>
          <w:b w:val="false"/>
          <w:bCs w:val="false"/>
          <w:i w:val="false"/>
          <w:iCs w:val="false"/>
          <w:color w:val="000000"/>
          <w:sz w:val="22"/>
          <w:szCs w:val="22"/>
        </w:rPr>
        <w:t>os gêneros alimentícios</w:t>
      </w:r>
      <w:r>
        <w:rPr>
          <w:rFonts w:cs="Arial" w:ascii="Verdana" w:hAnsi="Verdana"/>
          <w:b w:val="false"/>
          <w:bCs w:val="false"/>
          <w:i w:val="false"/>
          <w:iCs w:val="false"/>
          <w:color w:val="000000"/>
          <w:sz w:val="22"/>
          <w:szCs w:val="22"/>
        </w:rPr>
        <w:t xml:space="preserve"> anotando em registro próprio todas as ocorrências relacionadas com a execução e determinando o que for necessário à regularização de falhas ou defeitos observados.</w:t>
      </w:r>
    </w:p>
    <w:p>
      <w:pPr>
        <w:pStyle w:val="Normal"/>
        <w:spacing w:lineRule="auto" w:line="240"/>
        <w:ind w:left="0" w:right="0" w:hanging="0"/>
        <w:jc w:val="both"/>
        <w:rPr/>
      </w:pPr>
      <w:r>
        <w:rPr>
          <w:rFonts w:cs="Arial" w:ascii="Verdana" w:hAnsi="Verdana"/>
          <w:b w:val="false"/>
          <w:bCs w:val="false"/>
          <w:i w:val="false"/>
          <w:iCs w:val="false"/>
          <w:color w:val="000000"/>
          <w:sz w:val="22"/>
          <w:szCs w:val="22"/>
        </w:rPr>
        <w:t>8.2. A fiscalização de que trata este item não exclui nem reduz a responsabilidade da Contratada, inclusive perante terceiros, por qualquer irregularidade, ainda que resultante de imperfeições técnicas ou vícios redibitórios, e na ocorrência desta, não implica em responsabilidade da Administração ou de seus agentes e prepostos.</w:t>
      </w:r>
    </w:p>
    <w:p>
      <w:pPr>
        <w:pStyle w:val="Normal"/>
        <w:spacing w:lineRule="auto" w:line="240"/>
        <w:ind w:left="0" w:right="0" w:hanging="0"/>
        <w:jc w:val="both"/>
        <w:rPr/>
      </w:pPr>
      <w:r>
        <w:rPr>
          <w:rFonts w:cs="Arial" w:ascii="Verdana" w:hAnsi="Verdana"/>
          <w:b w:val="false"/>
          <w:bCs w:val="false"/>
          <w:i w:val="false"/>
          <w:iCs w:val="false"/>
          <w:color w:val="000000"/>
          <w:sz w:val="22"/>
          <w:szCs w:val="22"/>
        </w:rPr>
        <w:t>8.3. O representante da Administração anotará em registro próprio todas as ocorrências relacionadas com a execução do contrato, indicando dia, mês e ano, bem como o nome dos funcionários eventualmente envolvidos, determinando o que</w:t>
      </w:r>
      <w:r>
        <w:rPr>
          <w:rFonts w:ascii="Verdana" w:hAnsi="Verdana"/>
          <w:sz w:val="22"/>
          <w:szCs w:val="22"/>
        </w:rPr>
        <w:br/>
      </w:r>
      <w:r>
        <w:rPr>
          <w:rFonts w:cs="Arial" w:ascii="Verdana" w:hAnsi="Verdana"/>
          <w:b w:val="false"/>
          <w:bCs w:val="false"/>
          <w:i w:val="false"/>
          <w:iCs w:val="false"/>
          <w:color w:val="000000"/>
          <w:sz w:val="22"/>
          <w:szCs w:val="22"/>
        </w:rPr>
        <w:t xml:space="preserve">for necessário à regularização das falhas ou </w:t>
      </w:r>
      <w:r>
        <w:rPr>
          <w:rFonts w:ascii="Verdana" w:hAnsi="Verdana"/>
          <w:sz w:val="22"/>
          <w:szCs w:val="22"/>
        </w:rPr>
        <w:t>defeitos observados e encaminhando os apontamentos à autoridade competente para as providências cabíveis.</w:t>
      </w:r>
    </w:p>
    <w:p>
      <w:pPr>
        <w:pStyle w:val="Normal"/>
        <w:spacing w:lineRule="auto" w:line="240"/>
        <w:ind w:left="0" w:right="0" w:hanging="0"/>
        <w:jc w:val="both"/>
        <w:rPr/>
      </w:pPr>
      <w:r>
        <w:rPr>
          <w:rFonts w:ascii="Verdana" w:hAnsi="Verdana"/>
          <w:sz w:val="22"/>
          <w:szCs w:val="22"/>
        </w:rPr>
        <w:t>8.4. No caso de interrupção das entregas, por parte da contratada, o gestor do contrato tomará as providências cabíveis, de acordo com as cláusulas do edital e do contrato.</w:t>
      </w:r>
    </w:p>
    <w:p>
      <w:pPr>
        <w:pStyle w:val="Normal"/>
        <w:spacing w:lineRule="auto" w:line="240"/>
        <w:ind w:left="0" w:right="0" w:hanging="0"/>
        <w:jc w:val="both"/>
        <w:rPr>
          <w:rFonts w:ascii="Verdana" w:hAnsi="Verdana" w:cs="Arial"/>
          <w:b/>
          <w:sz w:val="22"/>
          <w:szCs w:val="22"/>
          <w:u w:val="none"/>
        </w:rPr>
      </w:pPr>
      <w:r>
        <w:rPr>
          <w:rFonts w:cs="Arial" w:ascii="Verdana" w:hAnsi="Verdana"/>
          <w:b/>
          <w:sz w:val="22"/>
          <w:szCs w:val="22"/>
          <w:u w:val="none"/>
        </w:rPr>
      </w:r>
    </w:p>
    <w:p>
      <w:pPr>
        <w:pStyle w:val="Normal"/>
        <w:tabs>
          <w:tab w:val="clear" w:pos="708"/>
          <w:tab w:val="left" w:pos="0" w:leader="none"/>
        </w:tabs>
        <w:spacing w:lineRule="auto" w:line="240" w:before="0" w:after="0"/>
        <w:ind w:left="0" w:right="0" w:hanging="0"/>
        <w:rPr/>
      </w:pPr>
      <w:r>
        <w:rPr>
          <w:rFonts w:cs="Arial" w:ascii="Verdana" w:hAnsi="Verdana"/>
          <w:b/>
          <w:bCs/>
          <w:sz w:val="22"/>
          <w:szCs w:val="22"/>
          <w:u w:val="none"/>
        </w:rPr>
        <w:t>9. RESULTADOS PRETENDIDOS</w:t>
      </w:r>
    </w:p>
    <w:p>
      <w:pPr>
        <w:pStyle w:val="Normal"/>
        <w:spacing w:lineRule="auto" w:line="240"/>
        <w:jc w:val="both"/>
        <w:rPr/>
      </w:pPr>
      <w:r>
        <w:rPr>
          <w:rFonts w:cs="Arial" w:ascii="Verdana" w:hAnsi="Verdana"/>
          <w:b w:val="false"/>
          <w:bCs w:val="false"/>
          <w:sz w:val="22"/>
          <w:szCs w:val="22"/>
          <w:u w:val="none"/>
        </w:rPr>
        <w:t xml:space="preserve">9.1. </w:t>
      </w:r>
      <w:r>
        <w:rPr>
          <w:rFonts w:eastAsia="Times New Roman" w:cs="Arial" w:ascii="Verdana" w:hAnsi="Verdana"/>
          <w:b w:val="false"/>
          <w:bCs w:val="false"/>
          <w:color w:val="auto"/>
          <w:kern w:val="0"/>
          <w:sz w:val="22"/>
          <w:szCs w:val="22"/>
          <w:u w:val="none"/>
          <w:lang w:val="pt-BR" w:eastAsia="pt-BR" w:bidi="ar-SA"/>
        </w:rPr>
        <w:t>Com a contratação, buscamos suprir as necessidades das Escolas Municipais através do Programa Nacional de Alimentação Escolar, afim de mantermos os 200 dias letivos com fornecimento de gêneros alimentícios de qualidade, fornecendo alimentação adequada aos alunos durante o período de aula.</w:t>
      </w:r>
    </w:p>
    <w:p>
      <w:pPr>
        <w:pStyle w:val="Normal"/>
        <w:spacing w:lineRule="auto" w:line="240"/>
        <w:jc w:val="both"/>
        <w:rPr>
          <w:rFonts w:ascii="Verdana" w:hAnsi="Verdana" w:cs="Arial"/>
          <w:b/>
          <w:sz w:val="22"/>
          <w:szCs w:val="22"/>
          <w:u w:val="none"/>
        </w:rPr>
      </w:pPr>
      <w:r>
        <w:rPr>
          <w:rFonts w:cs="Arial" w:ascii="Verdana" w:hAnsi="Verdana"/>
          <w:b/>
          <w:sz w:val="22"/>
          <w:szCs w:val="22"/>
          <w:u w:val="none"/>
        </w:rPr>
      </w:r>
    </w:p>
    <w:p>
      <w:pPr>
        <w:pStyle w:val="Normal"/>
        <w:spacing w:lineRule="auto" w:line="240"/>
        <w:jc w:val="both"/>
        <w:rPr/>
      </w:pPr>
      <w:r>
        <w:rPr>
          <w:rFonts w:cs="Arial" w:ascii="Verdana" w:hAnsi="Verdana"/>
          <w:b/>
          <w:bCs/>
          <w:sz w:val="22"/>
          <w:szCs w:val="22"/>
          <w:u w:val="none"/>
        </w:rPr>
        <w:t>10. REGULARIDADE FISCAL E TRABALHISTA</w:t>
      </w:r>
    </w:p>
    <w:p>
      <w:pPr>
        <w:pStyle w:val="Normal"/>
        <w:spacing w:lineRule="auto" w:line="240"/>
        <w:jc w:val="both"/>
        <w:rPr/>
      </w:pPr>
      <w:r>
        <w:rPr>
          <w:rFonts w:eastAsia="Times New Roman" w:cs="Arial" w:ascii="Verdana" w:hAnsi="Verdana"/>
          <w:b w:val="false"/>
          <w:bCs w:val="false"/>
          <w:sz w:val="22"/>
          <w:szCs w:val="22"/>
          <w:u w:val="none"/>
        </w:rPr>
        <w:t xml:space="preserve">10.1. </w:t>
      </w:r>
      <w:r>
        <w:rPr>
          <w:rFonts w:cs="Arial" w:ascii="Verdana" w:hAnsi="Verdana"/>
          <w:b w:val="false"/>
          <w:bCs w:val="false"/>
          <w:sz w:val="22"/>
          <w:szCs w:val="22"/>
          <w:u w:val="none"/>
        </w:rPr>
        <w:t xml:space="preserve">Cópia de inscrição no Cadastro de Pessoas </w:t>
      </w:r>
      <w:r>
        <w:rPr>
          <w:rFonts w:eastAsia="Times New Roman" w:cs="Arial" w:ascii="Verdana" w:hAnsi="Verdana"/>
          <w:b w:val="false"/>
          <w:bCs w:val="false"/>
          <w:sz w:val="22"/>
          <w:szCs w:val="22"/>
          <w:u w:val="none"/>
        </w:rPr>
        <w:t>Jurídicas – CNPJ.</w:t>
      </w:r>
    </w:p>
    <w:p>
      <w:pPr>
        <w:pStyle w:val="Normal"/>
        <w:spacing w:lineRule="auto" w:line="240"/>
        <w:jc w:val="both"/>
        <w:rPr/>
      </w:pPr>
      <w:r>
        <w:rPr>
          <w:rFonts w:eastAsia="Times New Roman" w:cs="Arial" w:ascii="Verdana" w:hAnsi="Verdana"/>
          <w:b w:val="false"/>
          <w:bCs w:val="false"/>
          <w:sz w:val="22"/>
          <w:szCs w:val="22"/>
          <w:u w:val="none"/>
        </w:rPr>
        <w:t xml:space="preserve">10.2. </w:t>
      </w:r>
      <w:r>
        <w:rPr>
          <w:rFonts w:cs="Arial" w:ascii="Verdana" w:hAnsi="Verdana"/>
          <w:b w:val="false"/>
          <w:bCs w:val="false"/>
          <w:sz w:val="22"/>
          <w:szCs w:val="22"/>
          <w:u w:val="none"/>
        </w:rPr>
        <w:t xml:space="preserve">Prova de regularidade com a Fazenda Pública Federal, referente à Certidão de Débitos relativos a Créditos Tributários Federais e à Dívida Ativa da União, que poderá ser solicitada no site http://receita.economia.gov.br; </w:t>
      </w:r>
    </w:p>
    <w:p>
      <w:pPr>
        <w:pStyle w:val="Normal"/>
        <w:spacing w:lineRule="auto" w:line="240"/>
        <w:jc w:val="both"/>
        <w:rPr/>
      </w:pPr>
      <w:r>
        <w:rPr>
          <w:rFonts w:eastAsia="Times New Roman" w:cs="Arial" w:ascii="Verdana" w:hAnsi="Verdana"/>
          <w:b w:val="false"/>
          <w:bCs w:val="false"/>
          <w:sz w:val="22"/>
          <w:szCs w:val="22"/>
          <w:u w:val="none"/>
        </w:rPr>
        <w:t>10.3.</w:t>
      </w:r>
      <w:r>
        <w:rPr>
          <w:rFonts w:cs="Arial" w:ascii="Verdana" w:hAnsi="Verdana"/>
          <w:b w:val="false"/>
          <w:bCs w:val="false"/>
          <w:sz w:val="22"/>
          <w:szCs w:val="22"/>
          <w:u w:val="none"/>
        </w:rPr>
        <w:t xml:space="preserve">Prova de regularidade com a Fazenda Estadual, que poderá ser solicitada no site </w:t>
      </w:r>
      <w:hyperlink r:id="rId2">
        <w:r>
          <w:rPr>
            <w:rFonts w:cs="Arial" w:ascii="Verdana" w:hAnsi="Verdana"/>
            <w:b w:val="false"/>
            <w:bCs w:val="false"/>
            <w:color w:val="000000"/>
            <w:sz w:val="22"/>
            <w:szCs w:val="22"/>
            <w:u w:val="none"/>
          </w:rPr>
          <w:t>https://internet.sefaz.es.gov.br</w:t>
        </w:r>
      </w:hyperlink>
      <w:r>
        <w:rPr>
          <w:rFonts w:cs="Arial" w:ascii="Verdana" w:hAnsi="Verdana"/>
          <w:b w:val="false"/>
          <w:bCs w:val="false"/>
          <w:color w:val="000000"/>
          <w:sz w:val="22"/>
          <w:szCs w:val="22"/>
          <w:u w:val="none"/>
        </w:rPr>
        <w:t>;</w:t>
      </w:r>
    </w:p>
    <w:p>
      <w:pPr>
        <w:pStyle w:val="Normal"/>
        <w:spacing w:lineRule="auto" w:line="240"/>
        <w:jc w:val="both"/>
        <w:rPr/>
      </w:pPr>
      <w:r>
        <w:rPr>
          <w:rFonts w:eastAsia="Times New Roman" w:cs="Arial" w:ascii="Verdana" w:hAnsi="Verdana"/>
          <w:b w:val="false"/>
          <w:bCs w:val="false"/>
          <w:sz w:val="22"/>
          <w:szCs w:val="22"/>
          <w:u w:val="none"/>
        </w:rPr>
        <w:t xml:space="preserve">10.4. </w:t>
      </w:r>
      <w:r>
        <w:rPr>
          <w:rFonts w:cs="Arial" w:ascii="Verdana" w:hAnsi="Verdana"/>
          <w:b w:val="false"/>
          <w:bCs w:val="false"/>
          <w:sz w:val="22"/>
          <w:szCs w:val="22"/>
          <w:u w:val="none"/>
        </w:rPr>
        <w:t xml:space="preserve"> Prova de regularidade com a Fazenda Pública Municipal referente ao domicílio do interessado.</w:t>
      </w:r>
    </w:p>
    <w:p>
      <w:pPr>
        <w:pStyle w:val="Normal"/>
        <w:spacing w:lineRule="auto" w:line="240"/>
        <w:jc w:val="both"/>
        <w:rPr/>
      </w:pPr>
      <w:r>
        <w:rPr>
          <w:rFonts w:eastAsia="Times New Roman" w:cs="Arial" w:ascii="Verdana" w:hAnsi="Verdana"/>
          <w:b w:val="false"/>
          <w:bCs w:val="false"/>
          <w:sz w:val="22"/>
          <w:szCs w:val="22"/>
          <w:u w:val="none"/>
        </w:rPr>
        <w:t xml:space="preserve">10.5. </w:t>
      </w:r>
      <w:r>
        <w:rPr>
          <w:rFonts w:cs="Arial" w:ascii="Verdana" w:hAnsi="Verdana"/>
          <w:b w:val="false"/>
          <w:bCs w:val="false"/>
          <w:sz w:val="22"/>
          <w:szCs w:val="22"/>
          <w:u w:val="none"/>
        </w:rPr>
        <w:t>Prova de inexistência de débitos inadimplidos perante a Justiça do Trabalho, mediante a apresentação de certidão negativa, nos termos do Título VII-A da Con</w:t>
      </w:r>
      <w:r>
        <w:rPr>
          <w:rFonts w:cs="Arial" w:ascii="Verdana" w:hAnsi="Verdana"/>
          <w:sz w:val="22"/>
          <w:szCs w:val="22"/>
          <w:u w:val="none"/>
        </w:rPr>
        <w:t xml:space="preserve">solidação das Leis do Trabalho, aprovada pelo Decreto-Lei n.º 5.452, de 1º de maio de 1943, que poderá ser retirada no </w:t>
      </w:r>
      <w:r>
        <w:rPr>
          <w:rFonts w:cs="Arial" w:ascii="Verdana" w:hAnsi="Verdana"/>
          <w:color w:val="000000"/>
          <w:sz w:val="22"/>
          <w:szCs w:val="22"/>
          <w:u w:val="none"/>
        </w:rPr>
        <w:t xml:space="preserve">site </w:t>
      </w:r>
      <w:hyperlink r:id="rId3">
        <w:r>
          <w:rPr>
            <w:rFonts w:cs="Arial" w:ascii="Verdana" w:hAnsi="Verdana"/>
            <w:color w:val="000000"/>
            <w:sz w:val="22"/>
            <w:szCs w:val="22"/>
            <w:u w:val="none"/>
          </w:rPr>
          <w:t>http://www.tst.jus.br</w:t>
        </w:r>
      </w:hyperlink>
      <w:r>
        <w:rPr>
          <w:rFonts w:cs="Arial" w:ascii="Verdana" w:hAnsi="Verdana"/>
          <w:color w:val="000000"/>
          <w:sz w:val="22"/>
          <w:szCs w:val="22"/>
          <w:u w:val="none"/>
        </w:rPr>
        <w:t>.</w:t>
      </w:r>
    </w:p>
    <w:p>
      <w:pPr>
        <w:pStyle w:val="Normal"/>
        <w:spacing w:lineRule="auto" w:line="240"/>
        <w:jc w:val="both"/>
        <w:rPr>
          <w:rFonts w:ascii="Verdana" w:hAnsi="Verdana" w:cs="Arial"/>
          <w:b/>
          <w:sz w:val="22"/>
          <w:szCs w:val="22"/>
          <w:u w:val="none"/>
        </w:rPr>
      </w:pPr>
      <w:r>
        <w:rPr>
          <w:rFonts w:cs="Arial" w:ascii="Verdana" w:hAnsi="Verdana"/>
          <w:b/>
          <w:sz w:val="22"/>
          <w:szCs w:val="22"/>
          <w:u w:val="none"/>
        </w:rPr>
      </w:r>
    </w:p>
    <w:p>
      <w:pPr>
        <w:pStyle w:val="Normal"/>
        <w:spacing w:lineRule="auto" w:line="240"/>
        <w:jc w:val="both"/>
        <w:rPr/>
      </w:pPr>
      <w:r>
        <w:rPr>
          <w:rFonts w:cs="Arial" w:ascii="Verdana" w:hAnsi="Verdana"/>
          <w:b/>
          <w:bCs/>
          <w:sz w:val="22"/>
          <w:szCs w:val="22"/>
          <w:u w:val="none"/>
        </w:rPr>
        <w:t>11. DAS SANÇÕES ADMINISTRATIVAS</w:t>
      </w:r>
    </w:p>
    <w:p>
      <w:pPr>
        <w:pStyle w:val="Normal"/>
        <w:spacing w:lineRule="auto" w:line="240"/>
        <w:ind w:left="0" w:right="0" w:hanging="0"/>
        <w:jc w:val="both"/>
        <w:rPr/>
      </w:pPr>
      <w:r>
        <w:rPr>
          <w:rFonts w:eastAsia="Times New Roman" w:cs="Times New Roman" w:ascii="Verdana" w:hAnsi="Verdana"/>
          <w:b w:val="false"/>
          <w:bCs w:val="false"/>
          <w:iCs/>
          <w:color w:val="000000"/>
          <w:sz w:val="22"/>
          <w:szCs w:val="22"/>
          <w:u w:val="none"/>
        </w:rPr>
        <w:t>11</w:t>
      </w:r>
      <w:r>
        <w:rPr>
          <w:rFonts w:ascii="Verdana" w:hAnsi="Verdana"/>
          <w:b w:val="false"/>
          <w:bCs w:val="false"/>
          <w:iCs/>
          <w:sz w:val="22"/>
          <w:szCs w:val="22"/>
          <w:u w:val="none"/>
        </w:rPr>
        <w:t>.1. Comete infração administrativa o fornecedor/prestador de serviço que cometer quaisquer das infrações previstas no art. 155 da Lei nº 14.133, de 2021, quais sejam:</w:t>
      </w:r>
    </w:p>
    <w:p>
      <w:pPr>
        <w:pStyle w:val="Normal"/>
        <w:spacing w:lineRule="auto" w:line="240"/>
        <w:ind w:left="0" w:right="0" w:hanging="0"/>
        <w:jc w:val="both"/>
        <w:rPr/>
      </w:pPr>
      <w:r>
        <w:rPr>
          <w:rFonts w:eastAsia="Times New Roman" w:cs="Times New Roman" w:ascii="Verdana" w:hAnsi="Verdana"/>
          <w:b w:val="false"/>
          <w:bCs w:val="false"/>
          <w:iCs/>
          <w:color w:val="000000"/>
          <w:sz w:val="22"/>
          <w:szCs w:val="22"/>
          <w:u w:val="none"/>
        </w:rPr>
        <w:t>11</w:t>
      </w:r>
      <w:r>
        <w:rPr>
          <w:rFonts w:ascii="Verdana" w:hAnsi="Verdana"/>
          <w:b w:val="false"/>
          <w:bCs w:val="false"/>
          <w:iCs/>
          <w:sz w:val="22"/>
          <w:szCs w:val="22"/>
          <w:u w:val="none"/>
        </w:rPr>
        <w:t>.1.1. Dar causa à inexecução parcial do contrato.</w:t>
      </w:r>
    </w:p>
    <w:p>
      <w:pPr>
        <w:pStyle w:val="Normal"/>
        <w:spacing w:lineRule="auto" w:line="240"/>
        <w:ind w:left="0" w:right="0" w:hanging="0"/>
        <w:jc w:val="both"/>
        <w:rPr/>
      </w:pPr>
      <w:r>
        <w:rPr>
          <w:rFonts w:eastAsia="Times New Roman" w:cs="Times New Roman" w:ascii="Verdana" w:hAnsi="Verdana"/>
          <w:b w:val="false"/>
          <w:bCs w:val="false"/>
          <w:iCs/>
          <w:color w:val="000000"/>
          <w:sz w:val="22"/>
          <w:szCs w:val="22"/>
          <w:u w:val="none"/>
        </w:rPr>
        <w:t>11</w:t>
      </w:r>
      <w:r>
        <w:rPr>
          <w:rFonts w:ascii="Verdana" w:hAnsi="Verdana"/>
          <w:b w:val="false"/>
          <w:bCs w:val="false"/>
          <w:iCs/>
          <w:sz w:val="22"/>
          <w:szCs w:val="22"/>
          <w:u w:val="none"/>
        </w:rPr>
        <w:t>.1.2. Dar causa à inexecução parcial que cause grave dano à Administração, ao funcionamento dos serviços públicos ou ao interesse coletivo.</w:t>
      </w:r>
    </w:p>
    <w:p>
      <w:pPr>
        <w:pStyle w:val="Normal"/>
        <w:spacing w:lineRule="auto" w:line="240"/>
        <w:ind w:left="0" w:right="0" w:hanging="0"/>
        <w:jc w:val="both"/>
        <w:rPr/>
      </w:pPr>
      <w:r>
        <w:rPr>
          <w:rFonts w:eastAsia="Times New Roman" w:cs="Times New Roman" w:ascii="Verdana" w:hAnsi="Verdana"/>
          <w:b w:val="false"/>
          <w:bCs w:val="false"/>
          <w:iCs/>
          <w:color w:val="000000"/>
          <w:sz w:val="22"/>
          <w:szCs w:val="22"/>
          <w:u w:val="none"/>
        </w:rPr>
        <w:t>11</w:t>
      </w:r>
      <w:r>
        <w:rPr>
          <w:rFonts w:ascii="Verdana" w:hAnsi="Verdana"/>
          <w:b w:val="false"/>
          <w:bCs w:val="false"/>
          <w:iCs/>
          <w:sz w:val="22"/>
          <w:szCs w:val="22"/>
          <w:u w:val="none"/>
        </w:rPr>
        <w:t>.1.3. Dar causa à inexecução total;</w:t>
      </w:r>
    </w:p>
    <w:p>
      <w:pPr>
        <w:pStyle w:val="Normal"/>
        <w:spacing w:lineRule="auto" w:line="240"/>
        <w:ind w:left="0" w:right="0" w:hanging="0"/>
        <w:jc w:val="both"/>
        <w:rPr/>
      </w:pPr>
      <w:r>
        <w:rPr>
          <w:rFonts w:eastAsia="Times New Roman" w:cs="Times New Roman" w:ascii="Verdana" w:hAnsi="Verdana"/>
          <w:b w:val="false"/>
          <w:bCs w:val="false"/>
          <w:iCs/>
          <w:color w:val="000000"/>
          <w:sz w:val="22"/>
          <w:szCs w:val="22"/>
          <w:u w:val="none"/>
        </w:rPr>
        <w:t>11</w:t>
      </w:r>
      <w:r>
        <w:rPr>
          <w:rFonts w:ascii="Verdana" w:hAnsi="Verdana"/>
          <w:b w:val="false"/>
          <w:bCs w:val="false"/>
          <w:iCs/>
          <w:sz w:val="22"/>
          <w:szCs w:val="22"/>
          <w:u w:val="none"/>
        </w:rPr>
        <w:t>.1.4. Deixar de entregar a documentação exigida para o certame.</w:t>
      </w:r>
    </w:p>
    <w:p>
      <w:pPr>
        <w:pStyle w:val="Normal"/>
        <w:spacing w:lineRule="auto" w:line="240"/>
        <w:ind w:left="0" w:right="0" w:hanging="0"/>
        <w:jc w:val="both"/>
        <w:rPr/>
      </w:pPr>
      <w:r>
        <w:rPr>
          <w:rFonts w:eastAsia="Times New Roman" w:cs="Times New Roman" w:ascii="Verdana" w:hAnsi="Verdana"/>
          <w:b w:val="false"/>
          <w:bCs w:val="false"/>
          <w:iCs/>
          <w:color w:val="000000"/>
          <w:sz w:val="22"/>
          <w:szCs w:val="22"/>
          <w:u w:val="none"/>
        </w:rPr>
        <w:t>11</w:t>
      </w:r>
      <w:r>
        <w:rPr>
          <w:rFonts w:ascii="Verdana" w:hAnsi="Verdana"/>
          <w:b w:val="false"/>
          <w:bCs w:val="false"/>
          <w:iCs/>
          <w:sz w:val="22"/>
          <w:szCs w:val="22"/>
          <w:u w:val="none"/>
        </w:rPr>
        <w:t>.1.5. Não manter a proposta, salvo em decorrência de fato superveniente devidamente justificado.</w:t>
      </w:r>
    </w:p>
    <w:p>
      <w:pPr>
        <w:pStyle w:val="Normal"/>
        <w:spacing w:lineRule="auto" w:line="240"/>
        <w:ind w:left="0" w:right="0" w:hanging="0"/>
        <w:jc w:val="both"/>
        <w:rPr/>
      </w:pPr>
      <w:r>
        <w:rPr>
          <w:rFonts w:eastAsia="Times New Roman" w:cs="Times New Roman" w:ascii="Verdana" w:hAnsi="Verdana"/>
          <w:b w:val="false"/>
          <w:bCs w:val="false"/>
          <w:iCs/>
          <w:color w:val="000000"/>
          <w:sz w:val="22"/>
          <w:szCs w:val="22"/>
          <w:u w:val="none"/>
        </w:rPr>
        <w:t>11</w:t>
      </w:r>
      <w:r>
        <w:rPr>
          <w:rFonts w:ascii="Verdana" w:hAnsi="Verdana"/>
          <w:b w:val="false"/>
          <w:bCs w:val="false"/>
          <w:iCs/>
          <w:sz w:val="22"/>
          <w:szCs w:val="22"/>
          <w:u w:val="none"/>
        </w:rPr>
        <w:t xml:space="preserve">.1.6. Não celebrar o contrato ou não entregar a documentação exigida para a contratação, quando convocado dentro do prazo de validade de sua proposta. </w:t>
      </w:r>
    </w:p>
    <w:p>
      <w:pPr>
        <w:pStyle w:val="Normal"/>
        <w:spacing w:lineRule="auto" w:line="240"/>
        <w:ind w:left="0" w:right="0" w:hanging="0"/>
        <w:jc w:val="both"/>
        <w:rPr/>
      </w:pPr>
      <w:r>
        <w:rPr>
          <w:rFonts w:eastAsia="Times New Roman" w:cs="Times New Roman" w:ascii="Verdana" w:hAnsi="Verdana"/>
          <w:b w:val="false"/>
          <w:bCs w:val="false"/>
          <w:iCs/>
          <w:color w:val="000000"/>
          <w:sz w:val="22"/>
          <w:szCs w:val="22"/>
          <w:u w:val="none"/>
        </w:rPr>
        <w:t>11</w:t>
      </w:r>
      <w:r>
        <w:rPr>
          <w:rFonts w:ascii="Verdana" w:hAnsi="Verdana"/>
          <w:b w:val="false"/>
          <w:bCs w:val="false"/>
          <w:iCs/>
          <w:sz w:val="22"/>
          <w:szCs w:val="22"/>
          <w:u w:val="none"/>
        </w:rPr>
        <w:t>.1.7. Ensejar o retardamento da execução ou da entrega do objeto sem motivo justificado,</w:t>
      </w:r>
    </w:p>
    <w:p>
      <w:pPr>
        <w:pStyle w:val="Normal"/>
        <w:spacing w:lineRule="auto" w:line="240"/>
        <w:ind w:left="0" w:right="0" w:hanging="0"/>
        <w:jc w:val="both"/>
        <w:rPr/>
      </w:pPr>
      <w:r>
        <w:rPr>
          <w:rFonts w:eastAsia="Times New Roman" w:cs="Times New Roman" w:ascii="Verdana" w:hAnsi="Verdana"/>
          <w:b w:val="false"/>
          <w:bCs w:val="false"/>
          <w:iCs/>
          <w:color w:val="000000"/>
          <w:sz w:val="22"/>
          <w:szCs w:val="22"/>
          <w:u w:val="none"/>
        </w:rPr>
        <w:t>11</w:t>
      </w:r>
      <w:r>
        <w:rPr>
          <w:rFonts w:ascii="Verdana" w:hAnsi="Verdana"/>
          <w:b w:val="false"/>
          <w:bCs w:val="false"/>
          <w:iCs/>
          <w:sz w:val="22"/>
          <w:szCs w:val="22"/>
          <w:u w:val="none"/>
        </w:rPr>
        <w:t>.1.8. Apresentar declaração ou documentação falsa exigida para o certame ou prestar declaração falsa durante a dispensa eletrônica ou a execução do objeto.</w:t>
      </w:r>
    </w:p>
    <w:p>
      <w:pPr>
        <w:pStyle w:val="Normal"/>
        <w:spacing w:lineRule="auto" w:line="240"/>
        <w:ind w:left="0" w:right="0" w:hanging="0"/>
        <w:jc w:val="both"/>
        <w:rPr/>
      </w:pPr>
      <w:r>
        <w:rPr>
          <w:rFonts w:ascii="Verdana" w:hAnsi="Verdana"/>
          <w:b w:val="false"/>
          <w:bCs w:val="false"/>
          <w:iCs/>
          <w:sz w:val="22"/>
          <w:szCs w:val="22"/>
          <w:u w:val="none"/>
        </w:rPr>
        <w:t>11.1.9. Fraudar a dispensa eletrônica ou praticar ato fraudulento na execução do objeto.</w:t>
      </w:r>
    </w:p>
    <w:p>
      <w:pPr>
        <w:pStyle w:val="Normal"/>
        <w:spacing w:lineRule="auto" w:line="240"/>
        <w:ind w:left="0" w:right="0" w:hanging="0"/>
        <w:jc w:val="both"/>
        <w:rPr/>
      </w:pPr>
      <w:r>
        <w:rPr>
          <w:rFonts w:eastAsia="Times New Roman" w:cs="Times New Roman" w:ascii="Verdana" w:hAnsi="Verdana"/>
          <w:b w:val="false"/>
          <w:bCs w:val="false"/>
          <w:iCs/>
          <w:color w:val="000000"/>
          <w:sz w:val="22"/>
          <w:szCs w:val="22"/>
          <w:u w:val="none"/>
        </w:rPr>
        <w:t>11</w:t>
      </w:r>
      <w:r>
        <w:rPr>
          <w:rFonts w:ascii="Verdana" w:hAnsi="Verdana"/>
          <w:b w:val="false"/>
          <w:bCs w:val="false"/>
          <w:iCs/>
          <w:sz w:val="22"/>
          <w:szCs w:val="22"/>
          <w:u w:val="none"/>
        </w:rPr>
        <w:t>.1.10. Comportar-se de modo inidôneo ou cometer fraude de qualquer natureza.</w:t>
      </w:r>
    </w:p>
    <w:p>
      <w:pPr>
        <w:pStyle w:val="Normal"/>
        <w:spacing w:lineRule="auto" w:line="240"/>
        <w:ind w:left="0" w:right="0" w:hanging="0"/>
        <w:jc w:val="both"/>
        <w:rPr/>
      </w:pPr>
      <w:r>
        <w:rPr>
          <w:rFonts w:eastAsia="Times New Roman" w:cs="Times New Roman" w:ascii="Verdana" w:hAnsi="Verdana"/>
          <w:b w:val="false"/>
          <w:bCs w:val="false"/>
          <w:iCs/>
          <w:color w:val="000000"/>
          <w:sz w:val="22"/>
          <w:szCs w:val="22"/>
          <w:u w:val="none"/>
        </w:rPr>
        <w:t>11</w:t>
      </w:r>
      <w:r>
        <w:rPr>
          <w:rFonts w:ascii="Verdana" w:hAnsi="Verdana"/>
          <w:b w:val="false"/>
          <w:bCs w:val="false"/>
          <w:iCs/>
          <w:sz w:val="22"/>
          <w:szCs w:val="22"/>
          <w:u w:val="none"/>
        </w:rPr>
        <w:t>.1.10.1. 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spacing w:lineRule="auto" w:line="240"/>
        <w:ind w:left="0" w:right="0" w:hanging="0"/>
        <w:jc w:val="both"/>
        <w:rPr/>
      </w:pPr>
      <w:r>
        <w:rPr>
          <w:rFonts w:eastAsia="Times New Roman" w:cs="Times New Roman" w:ascii="Verdana" w:hAnsi="Verdana"/>
          <w:b w:val="false"/>
          <w:bCs w:val="false"/>
          <w:iCs/>
          <w:color w:val="000000"/>
          <w:sz w:val="22"/>
          <w:szCs w:val="22"/>
          <w:u w:val="none"/>
        </w:rPr>
        <w:t>11</w:t>
      </w:r>
      <w:r>
        <w:rPr>
          <w:rFonts w:ascii="Verdana" w:hAnsi="Verdana"/>
          <w:b w:val="false"/>
          <w:bCs w:val="false"/>
          <w:iCs/>
          <w:sz w:val="22"/>
          <w:szCs w:val="22"/>
          <w:u w:val="none"/>
        </w:rPr>
        <w:t>.1.11. Praticar atos ilícitos com vistas a frustrar os objetivos deste certame.</w:t>
      </w:r>
    </w:p>
    <w:p>
      <w:pPr>
        <w:pStyle w:val="Normal"/>
        <w:spacing w:lineRule="auto" w:line="240"/>
        <w:ind w:left="0" w:right="0" w:hanging="0"/>
        <w:jc w:val="both"/>
        <w:rPr/>
      </w:pPr>
      <w:r>
        <w:rPr>
          <w:rFonts w:eastAsia="Times New Roman" w:cs="Times New Roman" w:ascii="Verdana" w:hAnsi="Verdana"/>
          <w:b w:val="false"/>
          <w:bCs w:val="false"/>
          <w:iCs/>
          <w:color w:val="000000"/>
          <w:sz w:val="22"/>
          <w:szCs w:val="22"/>
          <w:u w:val="none"/>
        </w:rPr>
        <w:t>11</w:t>
      </w:r>
      <w:r>
        <w:rPr>
          <w:rFonts w:ascii="Verdana" w:hAnsi="Verdana"/>
          <w:b w:val="false"/>
          <w:bCs w:val="false"/>
          <w:iCs/>
          <w:sz w:val="22"/>
          <w:szCs w:val="22"/>
          <w:u w:val="none"/>
        </w:rPr>
        <w:t>.1.12. Praticar ato lesivo previsto no art. 5º da Lei nº 12.846, de 1º de agosto de 2013.</w:t>
      </w:r>
    </w:p>
    <w:p>
      <w:pPr>
        <w:pStyle w:val="Normal"/>
        <w:spacing w:lineRule="auto" w:line="240"/>
        <w:ind w:left="0" w:right="0" w:hanging="0"/>
        <w:jc w:val="both"/>
        <w:rPr/>
      </w:pPr>
      <w:r>
        <w:rPr>
          <w:rFonts w:eastAsia="Times New Roman" w:cs="Times New Roman" w:ascii="Verdana" w:hAnsi="Verdana"/>
          <w:b w:val="false"/>
          <w:bCs w:val="false"/>
          <w:iCs/>
          <w:color w:val="000000"/>
          <w:sz w:val="22"/>
          <w:szCs w:val="22"/>
          <w:u w:val="none"/>
        </w:rPr>
        <w:t>11.1.13.</w:t>
      </w:r>
      <w:r>
        <w:rPr>
          <w:rFonts w:ascii="Verdana" w:hAnsi="Verdana"/>
          <w:b w:val="false"/>
          <w:bCs w:val="false"/>
          <w:iCs/>
          <w:sz w:val="22"/>
          <w:szCs w:val="22"/>
          <w:u w:val="none"/>
        </w:rPr>
        <w:t xml:space="preserve"> O fornecedor que cometer qualquer das infrações discriminadas nos subitens anteriores ficará sujeito, sem prejuízo da responsabilidade civil e criminal, às seguintes sanções:</w:t>
      </w:r>
    </w:p>
    <w:p>
      <w:pPr>
        <w:pStyle w:val="Normal"/>
        <w:spacing w:lineRule="auto" w:line="240"/>
        <w:ind w:left="0" w:right="0" w:hanging="0"/>
        <w:jc w:val="both"/>
        <w:rPr/>
      </w:pPr>
      <w:r>
        <w:rPr>
          <w:rFonts w:ascii="Verdana" w:hAnsi="Verdana"/>
          <w:b w:val="false"/>
          <w:bCs w:val="false"/>
          <w:iCs/>
          <w:sz w:val="22"/>
          <w:szCs w:val="22"/>
          <w:u w:val="none"/>
        </w:rPr>
        <w:t>a) Advertência pela falta do subitem 11.1.1 deste Termo de Referência, quando não se justificar a imposição de penalidade mais grave.</w:t>
      </w:r>
    </w:p>
    <w:p>
      <w:pPr>
        <w:pStyle w:val="Normal"/>
        <w:spacing w:lineRule="auto" w:line="240"/>
        <w:ind w:left="-57" w:right="0" w:hanging="0"/>
        <w:jc w:val="both"/>
        <w:rPr/>
      </w:pPr>
      <w:r>
        <w:rPr>
          <w:rFonts w:ascii="Verdana" w:hAnsi="Verdana"/>
          <w:b w:val="false"/>
          <w:bCs w:val="false"/>
          <w:iCs/>
          <w:sz w:val="22"/>
          <w:szCs w:val="22"/>
          <w:u w:val="none"/>
        </w:rPr>
        <w:t xml:space="preserve">b) Multa, calculada na forma do edital, com base no total do valor da contratação realizada de forma direta e será aplicada ao responsável por qualquer das infrações administrativas previstas no item 11.1 deste Termo de Referência, no percentual de 10% (dez por cento), na hipótese de cometimento das infrações previstas nos itens 11.1.1 a </w:t>
      </w:r>
      <w:r>
        <w:rPr>
          <w:rFonts w:eastAsia="Times New Roman" w:cs="Times New Roman" w:ascii="Verdana" w:hAnsi="Verdana"/>
          <w:b w:val="false"/>
          <w:bCs w:val="false"/>
          <w:iCs/>
          <w:color w:val="000000"/>
          <w:sz w:val="22"/>
          <w:szCs w:val="22"/>
          <w:u w:val="none"/>
        </w:rPr>
        <w:t>11</w:t>
      </w:r>
      <w:r>
        <w:rPr>
          <w:rFonts w:ascii="Verdana" w:hAnsi="Verdana"/>
          <w:b w:val="false"/>
          <w:bCs w:val="false"/>
          <w:iCs/>
          <w:sz w:val="22"/>
          <w:szCs w:val="22"/>
          <w:u w:val="none"/>
        </w:rPr>
        <w:t xml:space="preserve">.1.7 e 20% (vinte por cento), se cometidas infrações previstas nos itens 11.1.8 a 11.1.12; </w:t>
      </w:r>
    </w:p>
    <w:p>
      <w:pPr>
        <w:pStyle w:val="Normal"/>
        <w:spacing w:lineRule="auto" w:line="240"/>
        <w:ind w:left="-57" w:right="0" w:hanging="0"/>
        <w:jc w:val="both"/>
        <w:rPr/>
      </w:pPr>
      <w:r>
        <w:rPr>
          <w:rFonts w:ascii="Verdana" w:hAnsi="Verdana"/>
          <w:b w:val="false"/>
          <w:bCs w:val="false"/>
          <w:iCs/>
          <w:sz w:val="22"/>
          <w:szCs w:val="22"/>
          <w:u w:val="none"/>
        </w:rPr>
        <w:t>b.1) O valor da multa poderá ser descontado das faturas devidas à CONTRATADA;</w:t>
      </w:r>
    </w:p>
    <w:p>
      <w:pPr>
        <w:pStyle w:val="Normal"/>
        <w:spacing w:lineRule="auto" w:line="240"/>
        <w:ind w:left="0" w:right="0" w:hanging="0"/>
        <w:jc w:val="both"/>
        <w:rPr/>
      </w:pPr>
      <w:r>
        <w:rPr>
          <w:rFonts w:ascii="Verdana" w:hAnsi="Verdana"/>
          <w:b w:val="false"/>
          <w:bCs w:val="false"/>
          <w:iCs/>
          <w:sz w:val="22"/>
          <w:szCs w:val="22"/>
          <w:u w:val="none"/>
        </w:rPr>
        <w:t>b.2) A multa pode ser aplicada isoladamente ou juntamente com as penali</w:t>
      </w:r>
      <w:r>
        <w:rPr>
          <w:rFonts w:ascii="Verdana" w:hAnsi="Verdana"/>
          <w:iCs/>
          <w:sz w:val="22"/>
          <w:szCs w:val="22"/>
          <w:u w:val="none"/>
        </w:rPr>
        <w:t xml:space="preserve">dades definidas nos itens “c” e “d” abaixo: </w:t>
      </w:r>
    </w:p>
    <w:p>
      <w:pPr>
        <w:pStyle w:val="Normal"/>
        <w:spacing w:lineRule="auto" w:line="240"/>
        <w:ind w:left="0" w:right="0" w:hanging="0"/>
        <w:jc w:val="both"/>
        <w:rPr/>
      </w:pPr>
      <w:r>
        <w:rPr>
          <w:rFonts w:ascii="Verdana" w:hAnsi="Verdana"/>
          <w:iCs/>
          <w:sz w:val="22"/>
          <w:szCs w:val="22"/>
          <w:u w:val="none"/>
        </w:rPr>
        <w:t>c) Impedimento de licitar e contratar no âmbito da Administração Pública direta e indireta do ente federativo que tiver aplicado a sanção, pelo prazo máximo de 03 (três) anos, nos casos dos subitens 8.1.2 a 8.1.7 deste Termo de Referência, quando não se justificar a imposição de penalidade mais grave.</w:t>
      </w:r>
    </w:p>
    <w:p>
      <w:pPr>
        <w:pStyle w:val="Normal"/>
        <w:spacing w:lineRule="auto" w:line="240"/>
        <w:ind w:left="0" w:right="0" w:hanging="0"/>
        <w:jc w:val="both"/>
        <w:rPr/>
      </w:pPr>
      <w:r>
        <w:rPr>
          <w:rFonts w:ascii="Verdana" w:hAnsi="Verdana"/>
          <w:iCs/>
          <w:sz w:val="22"/>
          <w:szCs w:val="22"/>
          <w:u w:val="none"/>
        </w:rPr>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pPr>
        <w:pStyle w:val="Normal"/>
        <w:spacing w:lineRule="auto" w:line="240"/>
        <w:ind w:left="0" w:right="0" w:hanging="0"/>
        <w:jc w:val="both"/>
        <w:rPr/>
      </w:pPr>
      <w:r>
        <w:rPr>
          <w:rFonts w:eastAsia="Times New Roman" w:cs="Times New Roman" w:ascii="Verdana" w:hAnsi="Verdana"/>
          <w:b w:val="false"/>
          <w:bCs w:val="false"/>
          <w:iCs/>
          <w:color w:val="000000"/>
          <w:sz w:val="22"/>
          <w:szCs w:val="22"/>
          <w:u w:val="none"/>
        </w:rPr>
        <w:t>11</w:t>
      </w:r>
      <w:r>
        <w:rPr>
          <w:rFonts w:ascii="Verdana" w:hAnsi="Verdana"/>
          <w:b w:val="false"/>
          <w:bCs w:val="false"/>
          <w:iCs/>
          <w:sz w:val="22"/>
          <w:szCs w:val="22"/>
          <w:u w:val="none"/>
        </w:rPr>
        <w:t>.3. Na aplicação das sanções serão considerados:</w:t>
      </w:r>
    </w:p>
    <w:p>
      <w:pPr>
        <w:pStyle w:val="Normal"/>
        <w:spacing w:lineRule="auto" w:line="240"/>
        <w:ind w:left="0" w:right="0" w:hanging="0"/>
        <w:jc w:val="both"/>
        <w:rPr/>
      </w:pPr>
      <w:r>
        <w:rPr>
          <w:rFonts w:eastAsia="Times New Roman" w:cs="Times New Roman" w:ascii="Verdana" w:hAnsi="Verdana"/>
          <w:b w:val="false"/>
          <w:bCs w:val="false"/>
          <w:iCs/>
          <w:color w:val="000000"/>
          <w:sz w:val="22"/>
          <w:szCs w:val="22"/>
          <w:u w:val="none"/>
        </w:rPr>
        <w:t>11</w:t>
      </w:r>
      <w:r>
        <w:rPr>
          <w:rFonts w:ascii="Verdana" w:hAnsi="Verdana"/>
          <w:b w:val="false"/>
          <w:bCs w:val="false"/>
          <w:iCs/>
          <w:sz w:val="22"/>
          <w:szCs w:val="22"/>
          <w:u w:val="none"/>
        </w:rPr>
        <w:t>.3.1. A natureza e a gravidade da infração cometida.</w:t>
      </w:r>
    </w:p>
    <w:p>
      <w:pPr>
        <w:pStyle w:val="Normal"/>
        <w:spacing w:lineRule="auto" w:line="240"/>
        <w:ind w:left="0" w:right="0" w:hanging="0"/>
        <w:jc w:val="both"/>
        <w:rPr/>
      </w:pPr>
      <w:r>
        <w:rPr>
          <w:rFonts w:ascii="Verdana" w:hAnsi="Verdana"/>
          <w:b w:val="false"/>
          <w:bCs w:val="false"/>
          <w:iCs/>
          <w:sz w:val="22"/>
          <w:szCs w:val="22"/>
          <w:u w:val="none"/>
        </w:rPr>
        <w:t>11.3.2. As peculiaridades do caso concreto.</w:t>
      </w:r>
    </w:p>
    <w:p>
      <w:pPr>
        <w:pStyle w:val="Normal"/>
        <w:spacing w:lineRule="auto" w:line="240"/>
        <w:ind w:left="0" w:right="0" w:hanging="0"/>
        <w:jc w:val="both"/>
        <w:rPr/>
      </w:pPr>
      <w:r>
        <w:rPr>
          <w:rFonts w:ascii="Verdana" w:hAnsi="Verdana"/>
          <w:b w:val="false"/>
          <w:bCs w:val="false"/>
          <w:iCs/>
          <w:sz w:val="22"/>
          <w:szCs w:val="22"/>
          <w:u w:val="none"/>
        </w:rPr>
        <w:t>11.3.3. As circunstâncias agravantes ou atenuantes.</w:t>
      </w:r>
    </w:p>
    <w:p>
      <w:pPr>
        <w:pStyle w:val="Normal"/>
        <w:spacing w:lineRule="auto" w:line="240"/>
        <w:ind w:left="0" w:right="0" w:hanging="0"/>
        <w:jc w:val="both"/>
        <w:rPr/>
      </w:pPr>
      <w:r>
        <w:rPr>
          <w:rFonts w:ascii="Verdana" w:hAnsi="Verdana"/>
          <w:b w:val="false"/>
          <w:bCs w:val="false"/>
          <w:iCs/>
          <w:sz w:val="22"/>
          <w:szCs w:val="22"/>
          <w:u w:val="none"/>
        </w:rPr>
        <w:t>11.3.4. Os danos que dela provierem para a Administração Pública.</w:t>
      </w:r>
    </w:p>
    <w:p>
      <w:pPr>
        <w:pStyle w:val="Normal"/>
        <w:spacing w:lineRule="auto" w:line="240"/>
        <w:ind w:left="0" w:right="0" w:hanging="0"/>
        <w:jc w:val="both"/>
        <w:rPr/>
      </w:pPr>
      <w:r>
        <w:rPr>
          <w:rFonts w:eastAsia="Times New Roman" w:cs="Times New Roman" w:ascii="Verdana" w:hAnsi="Verdana"/>
          <w:b w:val="false"/>
          <w:bCs w:val="false"/>
          <w:iCs/>
          <w:color w:val="000000"/>
          <w:sz w:val="22"/>
          <w:szCs w:val="22"/>
          <w:u w:val="none"/>
        </w:rPr>
        <w:t>11</w:t>
      </w:r>
      <w:r>
        <w:rPr>
          <w:rFonts w:ascii="Verdana" w:hAnsi="Verdana"/>
          <w:b w:val="false"/>
          <w:bCs w:val="false"/>
          <w:iCs/>
          <w:sz w:val="22"/>
          <w:szCs w:val="22"/>
          <w:u w:val="none"/>
        </w:rPr>
        <w:t>.3.5. A implantação ou o aperfeiçoamento de programa de integridade, conforme normas e orientações dos órgãos de controle.</w:t>
      </w:r>
    </w:p>
    <w:p>
      <w:pPr>
        <w:pStyle w:val="Normal"/>
        <w:spacing w:lineRule="auto" w:line="240"/>
        <w:ind w:left="0" w:right="0" w:hanging="0"/>
        <w:jc w:val="both"/>
        <w:rPr/>
      </w:pPr>
      <w:r>
        <w:rPr>
          <w:rFonts w:ascii="Verdana" w:hAnsi="Verdana"/>
          <w:b w:val="false"/>
          <w:bCs w:val="false"/>
          <w:iCs/>
          <w:sz w:val="22"/>
          <w:szCs w:val="22"/>
          <w:u w:val="none"/>
        </w:rPr>
        <w:t>11.4. Se a multa aplicada e as indenizações cabíveis forem superiores ao valor de pagamento eventualmente devido pela Administração à CONTRATADA, além da perda desse valor, a diferença será descontada da garantia prestada ou será cobrada judicialmente.</w:t>
      </w:r>
    </w:p>
    <w:p>
      <w:pPr>
        <w:pStyle w:val="Normal"/>
        <w:spacing w:lineRule="auto" w:line="240"/>
        <w:ind w:left="0" w:right="0" w:hanging="0"/>
        <w:jc w:val="both"/>
        <w:rPr/>
      </w:pPr>
      <w:r>
        <w:rPr>
          <w:rFonts w:ascii="Verdana" w:hAnsi="Verdana"/>
          <w:b w:val="false"/>
          <w:bCs w:val="false"/>
          <w:iCs/>
          <w:sz w:val="22"/>
          <w:szCs w:val="22"/>
          <w:u w:val="none"/>
          <w:lang w:eastAsia="en-US"/>
        </w:rPr>
        <w:t>11.5. A aplicação de qualquer das penalidades previstas realizar-se-á em processo administrativo que assegurará o contraditório e a ampla defesa ao fornecedor/adjudicatário, observando-se o rito procedimental previsto no Capítulo I do Título IV d</w:t>
      </w:r>
      <w:r>
        <w:rPr>
          <w:rFonts w:ascii="Verdana" w:hAnsi="Verdana"/>
          <w:iCs/>
          <w:sz w:val="22"/>
          <w:szCs w:val="22"/>
          <w:u w:val="none"/>
          <w:lang w:eastAsia="en-US"/>
        </w:rPr>
        <w:t>a Lei 14.133/2021 – Das Infrações e Sanções Administrativas.</w:t>
      </w:r>
    </w:p>
    <w:p>
      <w:pPr>
        <w:pStyle w:val="Normal"/>
        <w:spacing w:lineRule="auto" w:line="240"/>
        <w:ind w:left="0" w:right="0" w:hanging="0"/>
        <w:jc w:val="both"/>
        <w:rPr>
          <w:rFonts w:ascii="Verdana" w:hAnsi="Verdana" w:cs="Arial"/>
          <w:b/>
          <w:sz w:val="22"/>
          <w:szCs w:val="22"/>
          <w:u w:val="none"/>
        </w:rPr>
      </w:pPr>
      <w:r>
        <w:rPr>
          <w:rFonts w:cs="Arial" w:ascii="Verdana" w:hAnsi="Verdana"/>
          <w:b/>
          <w:sz w:val="22"/>
          <w:szCs w:val="22"/>
          <w:u w:val="none"/>
        </w:rPr>
      </w:r>
    </w:p>
    <w:p>
      <w:pPr>
        <w:pStyle w:val="Normal"/>
        <w:spacing w:lineRule="auto" w:line="240"/>
        <w:ind w:left="-79" w:right="0" w:hanging="0"/>
        <w:jc w:val="both"/>
        <w:rPr/>
      </w:pPr>
      <w:r>
        <w:rPr>
          <w:rFonts w:ascii="Verdana" w:hAnsi="Verdana"/>
          <w:b/>
          <w:bCs/>
          <w:sz w:val="22"/>
          <w:szCs w:val="22"/>
          <w:u w:val="none"/>
          <w:lang w:eastAsia="en-US"/>
        </w:rPr>
        <w:t>12. DA HABILITAÇÃO</w:t>
      </w:r>
      <w:r>
        <w:rPr>
          <w:rFonts w:ascii="Verdana" w:hAnsi="Verdana"/>
          <w:sz w:val="22"/>
          <w:szCs w:val="22"/>
          <w:u w:val="none"/>
          <w:lang w:eastAsia="en-US"/>
        </w:rPr>
        <w:t xml:space="preserve"> </w:t>
      </w:r>
    </w:p>
    <w:p>
      <w:pPr>
        <w:pStyle w:val="Normal"/>
        <w:spacing w:lineRule="auto" w:line="240"/>
        <w:ind w:left="-79" w:right="0" w:hanging="0"/>
        <w:jc w:val="both"/>
        <w:rPr/>
      </w:pPr>
      <w:r>
        <w:rPr>
          <w:rFonts w:cs="Verdana" w:ascii="Verdana" w:hAnsi="Verdana"/>
          <w:b w:val="false"/>
          <w:bCs w:val="false"/>
          <w:sz w:val="22"/>
          <w:szCs w:val="22"/>
          <w:u w:val="none"/>
          <w:lang w:eastAsia="ar-SA"/>
        </w:rPr>
        <w:t>12.1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40" w:before="57" w:after="57"/>
        <w:ind w:left="0" w:right="0" w:hanging="0"/>
        <w:contextualSpacing/>
        <w:jc w:val="both"/>
        <w:rPr/>
      </w:pPr>
      <w:r>
        <w:rPr>
          <w:rFonts w:cs="Verdana" w:ascii="Verdana" w:hAnsi="Verdana"/>
          <w:b w:val="false"/>
          <w:bCs w:val="false"/>
          <w:sz w:val="22"/>
          <w:szCs w:val="22"/>
          <w:u w:val="none"/>
          <w:lang w:eastAsia="ar-SA"/>
        </w:rPr>
        <w:t>a) SICAF;</w:t>
      </w:r>
    </w:p>
    <w:p>
      <w:pPr>
        <w:pStyle w:val="ListParagraph"/>
        <w:spacing w:lineRule="auto" w:line="240" w:before="57" w:after="57"/>
        <w:ind w:left="0" w:right="0" w:hanging="0"/>
        <w:contextualSpacing/>
        <w:jc w:val="both"/>
        <w:rPr/>
      </w:pPr>
      <w:r>
        <w:rPr>
          <w:rFonts w:cs="Verdana" w:ascii="Verdana" w:hAnsi="Verdana"/>
          <w:b w:val="false"/>
          <w:bCs w:val="false"/>
          <w:sz w:val="22"/>
          <w:szCs w:val="22"/>
          <w:u w:val="none"/>
          <w:lang w:eastAsia="ar-SA"/>
        </w:rPr>
        <w:t xml:space="preserve">b) Cadastro Nacional de Empresas Inidôneas e Suspensas – CEIS, mantido pela </w:t>
      </w:r>
      <w:r>
        <w:rPr>
          <w:rFonts w:cs="Verdana" w:ascii="Verdana" w:hAnsi="Verdana"/>
          <w:b w:val="false"/>
          <w:bCs w:val="false"/>
          <w:color w:val="000000"/>
          <w:sz w:val="22"/>
          <w:szCs w:val="22"/>
          <w:u w:val="none"/>
          <w:lang w:eastAsia="ar-SA"/>
        </w:rPr>
        <w:t>Controladoria-Geral da União (</w:t>
      </w:r>
      <w:hyperlink r:id="rId4">
        <w:r>
          <w:rPr>
            <w:rFonts w:cs="Verdana" w:ascii="Verdana" w:hAnsi="Verdana"/>
            <w:b w:val="false"/>
            <w:bCs w:val="false"/>
            <w:color w:val="000000"/>
            <w:sz w:val="22"/>
            <w:szCs w:val="22"/>
            <w:u w:val="none"/>
            <w:lang w:eastAsia="ar-SA"/>
          </w:rPr>
          <w:t>www.portaldatransparencia.gov.br/ceis</w:t>
        </w:r>
      </w:hyperlink>
      <w:r>
        <w:rPr>
          <w:rFonts w:cs="Verdana" w:ascii="Verdana" w:hAnsi="Verdana"/>
          <w:b w:val="false"/>
          <w:bCs w:val="false"/>
          <w:color w:val="000000"/>
          <w:sz w:val="22"/>
          <w:szCs w:val="22"/>
          <w:u w:val="none"/>
          <w:lang w:eastAsia="ar-SA"/>
        </w:rPr>
        <w:t>);</w:t>
      </w:r>
    </w:p>
    <w:p>
      <w:pPr>
        <w:pStyle w:val="ListParagraph"/>
        <w:spacing w:lineRule="auto" w:line="240" w:before="57" w:after="57"/>
        <w:ind w:left="0" w:right="0" w:hanging="0"/>
        <w:contextualSpacing/>
        <w:jc w:val="both"/>
        <w:rPr/>
      </w:pPr>
      <w:r>
        <w:rPr>
          <w:rFonts w:cs="Verdana" w:ascii="Verdana" w:hAnsi="Verdana"/>
          <w:b w:val="false"/>
          <w:bCs w:val="false"/>
          <w:color w:val="000000"/>
          <w:sz w:val="22"/>
          <w:szCs w:val="22"/>
          <w:u w:val="none"/>
          <w:lang w:eastAsia="ar-SA"/>
        </w:rPr>
        <w:t>c) Cadastro Nacional de Condenações Cíveis por Atos de Improbidade Administrativa, mantido pelo Conselho Nacional de Justiça (</w:t>
      </w:r>
      <w:hyperlink r:id="rId5">
        <w:r>
          <w:rPr>
            <w:rFonts w:cs="Verdana" w:ascii="Verdana" w:hAnsi="Verdana"/>
            <w:b w:val="false"/>
            <w:bCs w:val="false"/>
            <w:color w:val="000000"/>
            <w:sz w:val="22"/>
            <w:szCs w:val="22"/>
            <w:u w:val="none"/>
            <w:lang w:eastAsia="ar-SA"/>
          </w:rPr>
          <w:t>www.cnj.jus.br/improbidade_adm/consultar_requerido.php</w:t>
        </w:r>
      </w:hyperlink>
      <w:r>
        <w:rPr>
          <w:rFonts w:cs="Verdana" w:ascii="Verdana" w:hAnsi="Verdana"/>
          <w:b w:val="false"/>
          <w:bCs w:val="false"/>
          <w:color w:val="000000"/>
          <w:sz w:val="22"/>
          <w:szCs w:val="22"/>
          <w:u w:val="none"/>
          <w:lang w:eastAsia="ar-SA"/>
        </w:rPr>
        <w:t>).</w:t>
      </w:r>
    </w:p>
    <w:p>
      <w:pPr>
        <w:pStyle w:val="ListParagraph"/>
        <w:spacing w:lineRule="auto" w:line="240" w:before="57" w:after="57"/>
        <w:ind w:left="0" w:right="0" w:hanging="0"/>
        <w:contextualSpacing/>
        <w:jc w:val="both"/>
        <w:rPr/>
      </w:pPr>
      <w:r>
        <w:rPr>
          <w:rFonts w:cs="Verdana" w:ascii="Verdana" w:hAnsi="Verdana"/>
          <w:b w:val="false"/>
          <w:bCs w:val="false"/>
          <w:color w:val="000000"/>
          <w:sz w:val="22"/>
          <w:szCs w:val="22"/>
          <w:u w:val="none"/>
          <w:lang w:eastAsia="ar-SA"/>
        </w:rPr>
        <w:t>d) Cadastro de Inidôneos e o Cadastro Integrado de Condenações por Ilícitos Administrativos – CADICON, mantidos pelo Tribunal de Contas da União – TCU;</w:t>
      </w:r>
    </w:p>
    <w:p>
      <w:pPr>
        <w:pStyle w:val="Normal"/>
        <w:spacing w:lineRule="auto" w:line="240" w:before="57" w:after="57"/>
        <w:jc w:val="both"/>
        <w:rPr/>
      </w:pPr>
      <w:r>
        <w:rPr>
          <w:rFonts w:cs="Verdana" w:ascii="Verdana" w:hAnsi="Verdana"/>
          <w:b w:val="false"/>
          <w:bCs w:val="false"/>
          <w:color w:val="000000"/>
          <w:sz w:val="22"/>
          <w:szCs w:val="22"/>
          <w:u w:val="none"/>
          <w:lang w:eastAsia="ar-SA"/>
        </w:rPr>
        <w:t>e) Cadastro de empresas inid</w:t>
      </w:r>
      <w:r>
        <w:rPr>
          <w:rFonts w:cs="Verdana" w:ascii="Verdana" w:hAnsi="Verdana"/>
          <w:b w:val="false"/>
          <w:bCs w:val="false"/>
          <w:color w:val="000000"/>
          <w:sz w:val="22"/>
          <w:szCs w:val="22"/>
          <w:u w:val="none"/>
        </w:rPr>
        <w:t>ôneas, mantido pelo Tribunal de Contas do Estado do Espírito Santo –TCE/ES(https://www.tcees.tc.br/portal-da-transparencia/consultas/lista-de-responsaveis/empresas-inidoneas/) e proibidas de contratar com o Poder Público estadual ou municipal(</w:t>
      </w:r>
      <w:hyperlink r:id="rId6">
        <w:r>
          <w:rPr>
            <w:rFonts w:cs="Verdana" w:ascii="Verdana" w:hAnsi="Verdana"/>
            <w:b w:val="false"/>
            <w:bCs w:val="false"/>
            <w:color w:val="000000"/>
            <w:sz w:val="22"/>
            <w:szCs w:val="22"/>
            <w:u w:val="none"/>
          </w:rPr>
          <w:t>https://www.tcees.tc.br/portal-da-transparencia/consultas/lista-de</w:t>
        </w:r>
      </w:hyperlink>
      <w:r>
        <w:rPr>
          <w:rFonts w:cs="Verdana" w:ascii="Verdana" w:hAnsi="Verdana"/>
          <w:b w:val="false"/>
          <w:bCs w:val="false"/>
          <w:color w:val="000000"/>
          <w:sz w:val="22"/>
          <w:szCs w:val="22"/>
          <w:u w:val="none"/>
        </w:rPr>
        <w:t xml:space="preserve"> responsáveis/proibidos-de-contratar/).</w:t>
      </w:r>
    </w:p>
    <w:p>
      <w:pPr>
        <w:pStyle w:val="Normal"/>
        <w:spacing w:lineRule="auto" w:line="240" w:before="57" w:after="57"/>
        <w:jc w:val="both"/>
        <w:rPr/>
      </w:pPr>
      <w:r>
        <w:rPr>
          <w:rFonts w:cs="Verdana" w:ascii="Verdana" w:hAnsi="Verdana"/>
          <w:b w:val="false"/>
          <w:bCs w:val="false"/>
          <w:color w:val="000000"/>
          <w:sz w:val="22"/>
          <w:szCs w:val="22"/>
          <w:u w:val="none"/>
          <w:lang w:eastAsia="ar-SA"/>
        </w:rPr>
        <w:t>12.1.1. Para a consulta de licitantes pessoa jurídica poderá haver a substituição das consultas das alíneas “b”, “c” e “d” acima pela Consulta Consolidada de Pessoa Jurídica do TCU (</w:t>
      </w:r>
      <w:hyperlink r:id="rId7">
        <w:r>
          <w:rPr>
            <w:rFonts w:cs="Verdana" w:ascii="Verdana" w:hAnsi="Verdana"/>
            <w:b w:val="false"/>
            <w:bCs w:val="false"/>
            <w:color w:val="000000"/>
            <w:sz w:val="22"/>
            <w:szCs w:val="22"/>
            <w:u w:val="none"/>
            <w:lang w:eastAsia="ar-SA"/>
          </w:rPr>
          <w:t>https://certidoesapf.apps.tcu.gov.br/</w:t>
        </w:r>
      </w:hyperlink>
      <w:r>
        <w:rPr>
          <w:rFonts w:cs="Verdana" w:ascii="Verdana" w:hAnsi="Verdana"/>
          <w:b w:val="false"/>
          <w:bCs w:val="false"/>
          <w:color w:val="000000"/>
          <w:sz w:val="22"/>
          <w:szCs w:val="22"/>
          <w:u w:val="none"/>
          <w:lang w:eastAsia="ar-SA"/>
        </w:rPr>
        <w:t>);</w:t>
      </w:r>
    </w:p>
    <w:p>
      <w:pPr>
        <w:pStyle w:val="Normal"/>
        <w:spacing w:lineRule="auto" w:line="240" w:before="57" w:after="57"/>
        <w:jc w:val="both"/>
        <w:rPr/>
      </w:pPr>
      <w:r>
        <w:rPr>
          <w:rFonts w:cs="Verdana" w:ascii="Verdana" w:hAnsi="Verdana"/>
          <w:b w:val="false"/>
          <w:bCs w:val="false"/>
          <w:color w:val="000000"/>
          <w:sz w:val="22"/>
          <w:szCs w:val="22"/>
          <w:u w:val="none"/>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40" w:before="57" w:after="57"/>
        <w:ind w:left="0" w:right="0" w:hanging="0"/>
        <w:contextualSpacing/>
        <w:jc w:val="both"/>
        <w:rPr/>
      </w:pPr>
      <w:r>
        <w:rPr>
          <w:rFonts w:cs="Verdana" w:ascii="Verdana" w:hAnsi="Verdana"/>
          <w:b w:val="false"/>
          <w:bCs w:val="false"/>
          <w:color w:val="000000"/>
          <w:sz w:val="22"/>
          <w:szCs w:val="22"/>
          <w:u w:val="none"/>
        </w:rPr>
        <w:t>12.1.2.1.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40" w:before="57" w:after="57"/>
        <w:ind w:left="0" w:right="0" w:hanging="0"/>
        <w:contextualSpacing/>
        <w:jc w:val="both"/>
        <w:rPr/>
      </w:pPr>
      <w:r>
        <w:rPr>
          <w:rFonts w:cs="Verdana" w:ascii="Verdana" w:hAnsi="Verdana"/>
          <w:b w:val="false"/>
          <w:bCs w:val="false"/>
          <w:color w:val="000000"/>
          <w:sz w:val="22"/>
          <w:szCs w:val="22"/>
          <w:u w:val="none"/>
        </w:rPr>
        <w:t>12.1.2.2.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40" w:before="57" w:after="57"/>
        <w:ind w:left="0" w:right="0" w:hanging="0"/>
        <w:contextualSpacing/>
        <w:jc w:val="both"/>
        <w:rPr/>
      </w:pPr>
      <w:r>
        <w:rPr>
          <w:rFonts w:cs="Verdana" w:ascii="Verdana" w:hAnsi="Verdana"/>
          <w:b w:val="false"/>
          <w:bCs w:val="false"/>
          <w:color w:val="000000"/>
          <w:sz w:val="22"/>
          <w:szCs w:val="22"/>
          <w:u w:val="none"/>
        </w:rPr>
        <w:t>12.1.2.3. O licitante será convocado para manifestação previamente à sua desclassificação.</w:t>
      </w:r>
    </w:p>
    <w:p>
      <w:pPr>
        <w:pStyle w:val="ListParagraph"/>
        <w:spacing w:lineRule="auto" w:line="240" w:before="57" w:after="57"/>
        <w:ind w:left="0" w:right="0" w:hanging="0"/>
        <w:contextualSpacing/>
        <w:jc w:val="both"/>
        <w:rPr/>
      </w:pPr>
      <w:r>
        <w:rPr>
          <w:rFonts w:cs="Verdana" w:ascii="Verdana" w:hAnsi="Verdana"/>
          <w:b w:val="false"/>
          <w:bCs w:val="false"/>
          <w:color w:val="000000"/>
          <w:sz w:val="22"/>
          <w:szCs w:val="22"/>
          <w:u w:val="none"/>
        </w:rPr>
        <w:t>12.1.3 .Constatada a existência de sanção, o Pregoeiro reputará o licitante inabilitado, por falta de condição de participação.</w:t>
      </w:r>
    </w:p>
    <w:p>
      <w:pPr>
        <w:pStyle w:val="ListParagraph"/>
        <w:spacing w:lineRule="auto" w:line="240" w:before="57" w:after="57"/>
        <w:ind w:left="0" w:right="0" w:hanging="0"/>
        <w:contextualSpacing/>
        <w:jc w:val="both"/>
        <w:rPr/>
      </w:pPr>
      <w:r>
        <w:rPr>
          <w:rFonts w:cs="Verdana" w:ascii="Verdana" w:hAnsi="Verdana"/>
          <w:b w:val="false"/>
          <w:bCs w:val="false"/>
          <w:color w:val="000000"/>
          <w:sz w:val="22"/>
          <w:szCs w:val="22"/>
          <w:u w:val="none"/>
        </w:rPr>
        <w:t>12.1.4.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tabs>
          <w:tab w:val="clear" w:pos="708"/>
          <w:tab w:val="left" w:pos="567" w:leader="none"/>
        </w:tabs>
        <w:spacing w:lineRule="auto" w:line="240" w:before="57" w:after="57"/>
        <w:ind w:left="0" w:right="0" w:hanging="0"/>
        <w:contextualSpacing/>
        <w:jc w:val="both"/>
        <w:rPr/>
      </w:pPr>
      <w:r>
        <w:rPr>
          <w:rFonts w:cs="Verdana" w:ascii="Verdana" w:hAnsi="Verdana"/>
          <w:b w:val="false"/>
          <w:bCs w:val="false"/>
          <w:sz w:val="22"/>
          <w:szCs w:val="22"/>
          <w:u w:val="none"/>
          <w:lang w:eastAsia="ar-SA"/>
        </w:rPr>
        <w:t xml:space="preserve">12.2. </w:t>
      </w:r>
      <w:r>
        <w:rPr>
          <w:rFonts w:cs="Verdana" w:ascii="Verdana" w:hAnsi="Verdana"/>
          <w:color w:val="000000"/>
          <w:sz w:val="22"/>
          <w:szCs w:val="22"/>
          <w:u w:val="none"/>
        </w:rPr>
        <w:t xml:space="preserve">Caso atendidas as condições de participação, </w:t>
      </w:r>
      <w:r>
        <w:rPr>
          <w:rFonts w:cs="Verdana" w:ascii="Verdana" w:hAnsi="Verdana"/>
          <w:sz w:val="22"/>
          <w:szCs w:val="22"/>
          <w:u w:val="none"/>
        </w:rPr>
        <w:t>a habilitação dos licitantes será verificada por meio do SICAF, nos documentos por ele abrangidos</w:t>
      </w:r>
      <w:r>
        <w:rPr>
          <w:rFonts w:cs="Verdana" w:ascii="Verdana" w:hAnsi="Verdana"/>
          <w:sz w:val="22"/>
          <w:szCs w:val="22"/>
          <w:u w:val="none"/>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spacing w:lineRule="auto" w:line="240" w:before="57" w:after="57"/>
        <w:ind w:left="0" w:right="0" w:hanging="0"/>
        <w:contextualSpacing/>
        <w:jc w:val="both"/>
        <w:rPr/>
      </w:pPr>
      <w:r>
        <w:rPr>
          <w:rFonts w:cs="Verdana" w:ascii="Verdana" w:hAnsi="Verdana"/>
          <w:b w:val="false"/>
          <w:bCs w:val="false"/>
          <w:sz w:val="22"/>
          <w:szCs w:val="22"/>
          <w:u w:val="none"/>
          <w:lang w:eastAsia="ar-SA"/>
        </w:rPr>
        <w:t xml:space="preserve">12.2..1. </w:t>
      </w:r>
      <w:r>
        <w:rPr>
          <w:rFonts w:cs="Verdana" w:ascii="Verdana" w:hAnsi="Verdana"/>
          <w:sz w:val="22"/>
          <w:szCs w:val="22"/>
          <w:u w:val="none"/>
          <w:lang w:eastAsia="ar-SA"/>
        </w:rPr>
        <w:t xml:space="preserve">O interessado, para efeitos de habilitação prevista na Instrução Normativa </w:t>
      </w:r>
      <w:r>
        <w:rPr>
          <w:rFonts w:cs="Verdana" w:ascii="Verdana" w:hAnsi="Verdana"/>
          <w:b w:val="false"/>
          <w:bCs w:val="false"/>
          <w:sz w:val="22"/>
          <w:szCs w:val="22"/>
          <w:u w:val="none"/>
          <w:lang w:eastAsia="ar-SA"/>
        </w:rPr>
        <w:t>SEGES/MP nº 03, de 2018 mediante utilização do sistema, deverá atender às condições exigidas no cadastramento no SICAF até o terceiro dia útil anterior à data prevista para recebimento das propostas;</w:t>
      </w:r>
    </w:p>
    <w:p>
      <w:pPr>
        <w:pStyle w:val="ListParagraph"/>
        <w:spacing w:lineRule="auto" w:line="240" w:before="57" w:after="57"/>
        <w:ind w:left="0" w:right="0" w:hanging="0"/>
        <w:contextualSpacing/>
        <w:jc w:val="both"/>
        <w:rPr/>
      </w:pPr>
      <w:r>
        <w:rPr>
          <w:rFonts w:cs="Verdana" w:ascii="Verdana" w:hAnsi="Verdana"/>
          <w:b w:val="false"/>
          <w:bCs w:val="false"/>
          <w:color w:val="000000"/>
          <w:sz w:val="22"/>
          <w:szCs w:val="22"/>
          <w:u w:val="none"/>
        </w:rPr>
        <w:t>12.2.2. 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spacing w:lineRule="auto" w:line="240" w:before="57" w:after="57"/>
        <w:ind w:left="0" w:right="0" w:hanging="0"/>
        <w:contextualSpacing/>
        <w:jc w:val="both"/>
        <w:rPr/>
      </w:pPr>
      <w:r>
        <w:rPr>
          <w:rFonts w:cs="Verdana" w:ascii="Verdana" w:hAnsi="Verdana"/>
          <w:b w:val="false"/>
          <w:bCs w:val="false"/>
          <w:color w:val="000000"/>
          <w:sz w:val="22"/>
          <w:szCs w:val="22"/>
          <w:u w:val="none"/>
        </w:rPr>
        <w:t>12.2.3.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spacing w:lineRule="auto" w:line="240" w:before="57" w:after="57"/>
        <w:ind w:left="0" w:right="0" w:hanging="0"/>
        <w:contextualSpacing/>
        <w:jc w:val="both"/>
        <w:rPr/>
      </w:pPr>
      <w:r>
        <w:rPr>
          <w:rFonts w:cs="Verdana" w:ascii="Verdana" w:hAnsi="Verdana"/>
          <w:b w:val="false"/>
          <w:bCs w:val="false"/>
          <w:color w:val="000000"/>
          <w:sz w:val="22"/>
          <w:szCs w:val="22"/>
          <w:u w:val="none"/>
        </w:rPr>
        <w:t>12.3.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spacing w:lineRule="auto" w:line="240" w:before="57" w:after="57"/>
        <w:ind w:left="0" w:right="0" w:hanging="0"/>
        <w:contextualSpacing/>
        <w:jc w:val="both"/>
        <w:rPr/>
      </w:pPr>
      <w:r>
        <w:rPr>
          <w:rFonts w:cs="Verdana" w:ascii="Verdana" w:hAnsi="Verdana"/>
          <w:b w:val="false"/>
          <w:bCs w:val="false"/>
          <w:sz w:val="22"/>
          <w:szCs w:val="22"/>
          <w:u w:val="none"/>
        </w:rPr>
        <w:t>12.4. Somente haverá a necessidade de comprovação do preenchimento de requisitos mediante apresentação dos documentos originais não-digitais quando houver dúvida em relação à integridade do documento digital.</w:t>
      </w:r>
    </w:p>
    <w:p>
      <w:pPr>
        <w:pStyle w:val="ListParagraph"/>
        <w:spacing w:lineRule="auto" w:line="240" w:before="57" w:after="57"/>
        <w:ind w:left="0" w:right="0" w:hanging="0"/>
        <w:contextualSpacing/>
        <w:jc w:val="both"/>
        <w:rPr/>
      </w:pPr>
      <w:r>
        <w:rPr>
          <w:rFonts w:cs="Verdana" w:ascii="Verdana" w:hAnsi="Verdana"/>
          <w:b w:val="false"/>
          <w:bCs w:val="false"/>
          <w:sz w:val="22"/>
          <w:szCs w:val="22"/>
          <w:u w:val="none"/>
        </w:rPr>
        <w:t>12.5. Não serão aceitos documentos de habilitação com indicação de CNPJ/CPF diferentes, salvo aqueles legalmente permitidos.</w:t>
      </w:r>
    </w:p>
    <w:p>
      <w:pPr>
        <w:pStyle w:val="ListParagraph"/>
        <w:spacing w:lineRule="auto" w:line="240" w:before="57" w:after="57"/>
        <w:ind w:left="0" w:right="0" w:hanging="0"/>
        <w:contextualSpacing/>
        <w:jc w:val="both"/>
        <w:rPr/>
      </w:pPr>
      <w:r>
        <w:rPr>
          <w:rFonts w:cs="Verdana" w:ascii="Verdana" w:hAnsi="Verdana"/>
          <w:b w:val="false"/>
          <w:bCs w:val="false"/>
          <w:sz w:val="22"/>
          <w:szCs w:val="22"/>
          <w:u w:val="none"/>
        </w:rPr>
        <w:t>12.6. Serão aceitos registros de CNPJ de licitante matriz e filial com diferenças de números de documentos pertinentes ao CND e ao CRF/FGTS, quando for comprovada a centralização do recolhimento dessas contribuições.</w:t>
      </w:r>
    </w:p>
    <w:p>
      <w:pPr>
        <w:pStyle w:val="ListParagraph"/>
        <w:spacing w:lineRule="auto" w:line="240" w:before="57" w:after="57"/>
        <w:ind w:left="0" w:right="0" w:hanging="0"/>
        <w:contextualSpacing/>
        <w:jc w:val="both"/>
        <w:rPr/>
      </w:pPr>
      <w:r>
        <w:rPr>
          <w:rFonts w:cs="Verdana" w:ascii="Verdana" w:hAnsi="Verdana"/>
          <w:b w:val="false"/>
          <w:bCs w:val="false"/>
          <w:color w:val="000000"/>
          <w:sz w:val="22"/>
          <w:szCs w:val="22"/>
          <w:u w:val="none"/>
        </w:rPr>
        <w:t>12.7. Os licitantes deverão encaminhar, nos termos deste Edital, a documentação relacionada nos itens a seguir, para fins de habilitação:</w:t>
      </w:r>
    </w:p>
    <w:p>
      <w:pPr>
        <w:pStyle w:val="ListParagraph"/>
        <w:spacing w:lineRule="auto" w:line="240" w:before="0" w:after="0"/>
        <w:ind w:left="0" w:right="0" w:hanging="0"/>
        <w:contextualSpacing/>
        <w:jc w:val="both"/>
        <w:rPr>
          <w:rFonts w:cs="Verdana"/>
          <w:b w:val="false"/>
          <w:bCs w:val="false"/>
          <w:color w:val="000000"/>
          <w:u w:val="none"/>
        </w:rPr>
      </w:pPr>
      <w:r>
        <w:rPr>
          <w:rFonts w:cs="Verdana"/>
          <w:b w:val="false"/>
          <w:bCs w:val="false"/>
          <w:color w:val="000000"/>
          <w:u w:val="none"/>
        </w:rPr>
      </w:r>
    </w:p>
    <w:p>
      <w:pPr>
        <w:pStyle w:val="ListParagraph"/>
        <w:spacing w:lineRule="auto" w:line="240" w:before="0" w:after="0"/>
        <w:ind w:left="0" w:right="0" w:hanging="0"/>
        <w:contextualSpacing/>
        <w:jc w:val="both"/>
        <w:rPr/>
      </w:pPr>
      <w:r>
        <w:rPr>
          <w:rFonts w:cs="Verdana" w:ascii="Verdana" w:hAnsi="Verdana"/>
          <w:b/>
          <w:bCs/>
          <w:color w:val="000000"/>
          <w:sz w:val="22"/>
          <w:szCs w:val="22"/>
          <w:u w:val="none"/>
        </w:rPr>
        <w:t>12.8. Habilitação jurídica:</w:t>
      </w:r>
    </w:p>
    <w:p>
      <w:pPr>
        <w:pStyle w:val="ListParagraph"/>
        <w:spacing w:lineRule="auto" w:line="240" w:before="57" w:after="57"/>
        <w:ind w:left="0" w:right="0" w:hanging="0"/>
        <w:contextualSpacing/>
        <w:jc w:val="both"/>
        <w:rPr/>
      </w:pPr>
      <w:r>
        <w:rPr>
          <w:rFonts w:cs="Verdana" w:ascii="Verdana" w:hAnsi="Verdana"/>
          <w:b w:val="false"/>
          <w:bCs w:val="false"/>
          <w:color w:val="000000"/>
          <w:sz w:val="22"/>
          <w:szCs w:val="22"/>
          <w:u w:val="none"/>
        </w:rPr>
        <w:t>12.8.1. No caso de empresário individual: inscrição no Registro Público de Empresas Mercantis, a cargo da Junta Comercial da respectiva sede;</w:t>
      </w:r>
    </w:p>
    <w:p>
      <w:pPr>
        <w:pStyle w:val="ListParagraph"/>
        <w:spacing w:lineRule="auto" w:line="240" w:before="57" w:after="57"/>
        <w:ind w:left="0" w:right="0" w:hanging="0"/>
        <w:contextualSpacing/>
        <w:jc w:val="both"/>
        <w:rPr/>
      </w:pPr>
      <w:r>
        <w:rPr>
          <w:rFonts w:cs="Verdana" w:ascii="Verdana" w:hAnsi="Verdana"/>
          <w:b w:val="false"/>
          <w:bCs w:val="false"/>
          <w:color w:val="000000"/>
          <w:sz w:val="22"/>
          <w:szCs w:val="22"/>
          <w:u w:val="none"/>
        </w:rPr>
        <w:t xml:space="preserve">12.8.2. Em se tratando de microempreendedor individual – MEI: Certificado da Condição de Microempreendedor Individual – CCMEI, cuja aceitação ficará condicionada à verificação da autenticidade no sítio </w:t>
      </w:r>
      <w:hyperlink r:id="rId8">
        <w:r>
          <w:rPr>
            <w:rFonts w:cs="Verdana" w:ascii="Verdana" w:hAnsi="Verdana"/>
            <w:b w:val="false"/>
            <w:bCs w:val="false"/>
            <w:color w:val="000000"/>
            <w:sz w:val="22"/>
            <w:szCs w:val="22"/>
            <w:u w:val="none"/>
          </w:rPr>
          <w:t>www.portaldoempreendedor.gov.br</w:t>
        </w:r>
      </w:hyperlink>
      <w:r>
        <w:rPr>
          <w:rFonts w:cs="Verdana" w:ascii="Verdana" w:hAnsi="Verdana"/>
          <w:b w:val="false"/>
          <w:bCs w:val="false"/>
          <w:color w:val="000000"/>
          <w:sz w:val="22"/>
          <w:szCs w:val="22"/>
          <w:u w:val="none"/>
        </w:rPr>
        <w:t>;</w:t>
      </w:r>
    </w:p>
    <w:p>
      <w:pPr>
        <w:pStyle w:val="ListParagraph"/>
        <w:spacing w:lineRule="auto" w:line="240" w:before="57" w:after="57"/>
        <w:ind w:left="0" w:right="0" w:hanging="0"/>
        <w:contextualSpacing/>
        <w:jc w:val="both"/>
        <w:rPr/>
      </w:pPr>
      <w:r>
        <w:rPr>
          <w:rFonts w:cs="Verdana" w:ascii="Verdana" w:hAnsi="Verdana"/>
          <w:b w:val="false"/>
          <w:bCs w:val="false"/>
          <w:color w:val="000000"/>
          <w:sz w:val="22"/>
          <w:szCs w:val="22"/>
          <w:u w:val="none"/>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spacing w:lineRule="auto" w:line="240" w:before="57" w:after="57"/>
        <w:ind w:left="0" w:right="0" w:hanging="0"/>
        <w:contextualSpacing/>
        <w:jc w:val="both"/>
        <w:rPr/>
      </w:pPr>
      <w:r>
        <w:rPr>
          <w:rFonts w:cs="Verdana" w:ascii="Verdana" w:hAnsi="Verdana"/>
          <w:b w:val="false"/>
          <w:bCs w:val="false"/>
          <w:color w:val="000000"/>
          <w:sz w:val="22"/>
          <w:szCs w:val="22"/>
          <w:u w:val="none"/>
        </w:rPr>
        <w:t>12.8.4. Inscrição no Registro Público de Empresas Mercantis onde opera, com averbação no Registro onde tem sede a matriz, no caso de ser o participante sucursal, filial ou agência;</w:t>
      </w:r>
    </w:p>
    <w:p>
      <w:pPr>
        <w:pStyle w:val="ListParagraph"/>
        <w:spacing w:lineRule="auto" w:line="240" w:before="57" w:after="57"/>
        <w:ind w:left="0" w:right="0" w:hanging="0"/>
        <w:contextualSpacing/>
        <w:jc w:val="both"/>
        <w:rPr/>
      </w:pPr>
      <w:r>
        <w:rPr>
          <w:rFonts w:cs="Verdana" w:ascii="Verdana" w:hAnsi="Verdana"/>
          <w:b w:val="false"/>
          <w:bCs w:val="false"/>
          <w:color w:val="000000"/>
          <w:sz w:val="22"/>
          <w:szCs w:val="22"/>
          <w:u w:val="none"/>
        </w:rPr>
        <w:t>12.8.5. No caso de sociedade simples: inscrição do ato constitutivo no Registro Civil das Pessoas Jurídicas do local de sua sede, acompanhada de prova da indicação dos seus administradores;</w:t>
      </w:r>
    </w:p>
    <w:p>
      <w:pPr>
        <w:pStyle w:val="ListParagraph"/>
        <w:spacing w:lineRule="auto" w:line="240" w:before="57" w:after="57"/>
        <w:ind w:left="0" w:right="0" w:hanging="0"/>
        <w:contextualSpacing/>
        <w:jc w:val="both"/>
        <w:rPr/>
      </w:pPr>
      <w:r>
        <w:rPr>
          <w:rFonts w:cs="Verdana" w:ascii="Verdana" w:hAnsi="Verdana"/>
          <w:b w:val="false"/>
          <w:bCs w:val="false"/>
          <w:color w:val="000000"/>
          <w:sz w:val="22"/>
          <w:szCs w:val="22"/>
          <w:u w:val="none"/>
        </w:rPr>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spacing w:lineRule="auto" w:line="240" w:before="57" w:after="57"/>
        <w:ind w:left="0" w:right="0" w:hanging="0"/>
        <w:contextualSpacing/>
        <w:jc w:val="both"/>
        <w:rPr/>
      </w:pPr>
      <w:r>
        <w:rPr>
          <w:rFonts w:cs="Verdana" w:ascii="Verdana" w:hAnsi="Verdana"/>
          <w:b w:val="false"/>
          <w:bCs w:val="false"/>
          <w:color w:val="000000"/>
          <w:sz w:val="22"/>
          <w:szCs w:val="22"/>
          <w:u w:val="none"/>
        </w:rPr>
        <w:t>12.8.7. No caso de empresa ou sociedade estrangeira em funcionamento no País: decreto de autorização;</w:t>
      </w:r>
    </w:p>
    <w:p>
      <w:pPr>
        <w:pStyle w:val="ListParagraph"/>
        <w:spacing w:lineRule="auto" w:line="240" w:before="57" w:after="57"/>
        <w:ind w:left="0" w:right="0" w:hanging="0"/>
        <w:contextualSpacing/>
        <w:jc w:val="both"/>
        <w:rPr/>
      </w:pPr>
      <w:r>
        <w:rPr>
          <w:rFonts w:cs="Verdana" w:ascii="Verdana" w:hAnsi="Verdana"/>
          <w:b w:val="false"/>
          <w:bCs w:val="false"/>
          <w:color w:val="000000"/>
          <w:sz w:val="22"/>
          <w:szCs w:val="22"/>
          <w:u w:val="none"/>
        </w:rPr>
        <w:t xml:space="preserve">12.8.8. </w:t>
      </w:r>
      <w:r>
        <w:rPr>
          <w:rFonts w:cs="Verdana" w:ascii="Verdana" w:hAnsi="Verdana"/>
          <w:bCs/>
          <w:color w:val="000000"/>
          <w:sz w:val="22"/>
          <w:szCs w:val="22"/>
          <w:u w:val="none"/>
        </w:rPr>
        <w:t>Os documentos acima deverão estar acompanhados de todas as alterações ou da consolidação respectiva.</w:t>
      </w:r>
    </w:p>
    <w:p>
      <w:pPr>
        <w:pStyle w:val="ListParagraph"/>
        <w:spacing w:lineRule="auto" w:line="240" w:before="0" w:after="0"/>
        <w:ind w:left="0" w:right="0" w:hanging="0"/>
        <w:contextualSpacing/>
        <w:jc w:val="both"/>
        <w:rPr>
          <w:rFonts w:ascii="Verdana" w:hAnsi="Verdana" w:cs="Arial"/>
          <w:b/>
          <w:sz w:val="22"/>
          <w:szCs w:val="22"/>
          <w:u w:val="none"/>
        </w:rPr>
      </w:pPr>
      <w:r>
        <w:rPr>
          <w:rFonts w:cs="Arial" w:ascii="Verdana" w:hAnsi="Verdana"/>
          <w:b/>
          <w:sz w:val="22"/>
          <w:szCs w:val="22"/>
          <w:u w:val="none"/>
        </w:rPr>
      </w:r>
    </w:p>
    <w:p>
      <w:pPr>
        <w:pStyle w:val="ListParagraph"/>
        <w:spacing w:lineRule="auto" w:line="240" w:before="57" w:after="57"/>
        <w:ind w:left="0" w:right="0" w:hanging="0"/>
        <w:contextualSpacing/>
        <w:jc w:val="both"/>
        <w:rPr/>
      </w:pPr>
      <w:r>
        <w:rPr>
          <w:rFonts w:cs="Verdana" w:ascii="Verdana" w:hAnsi="Verdana"/>
          <w:b/>
          <w:color w:val="000000"/>
          <w:sz w:val="22"/>
          <w:szCs w:val="22"/>
          <w:u w:val="none"/>
        </w:rPr>
        <w:t>12.09. Qualificação Econômico-Financeira</w:t>
      </w:r>
      <w:r>
        <w:rPr>
          <w:rFonts w:cs="Verdana" w:ascii="Verdana" w:hAnsi="Verdana"/>
          <w:color w:val="000000"/>
          <w:sz w:val="22"/>
          <w:szCs w:val="22"/>
          <w:u w:val="none"/>
        </w:rPr>
        <w:t>.</w:t>
      </w:r>
    </w:p>
    <w:p>
      <w:pPr>
        <w:pStyle w:val="Normal"/>
        <w:tabs>
          <w:tab w:val="clear" w:pos="708"/>
          <w:tab w:val="left" w:pos="850" w:leader="none"/>
        </w:tabs>
        <w:spacing w:lineRule="auto" w:line="240" w:before="57" w:after="57"/>
        <w:jc w:val="both"/>
        <w:rPr/>
      </w:pPr>
      <w:r>
        <w:rPr>
          <w:rFonts w:cs="Verdana" w:ascii="Verdana" w:hAnsi="Verdana"/>
          <w:b w:val="false"/>
          <w:bCs w:val="false"/>
          <w:color w:val="000000"/>
          <w:sz w:val="22"/>
          <w:szCs w:val="22"/>
          <w:u w:val="none"/>
        </w:rPr>
        <w:t>12.</w:t>
      </w:r>
      <w:r>
        <w:rPr>
          <w:rFonts w:eastAsia="Times New Roman" w:cs="Verdana" w:ascii="Verdana" w:hAnsi="Verdana"/>
          <w:b w:val="false"/>
          <w:bCs w:val="false"/>
          <w:color w:val="000000"/>
          <w:sz w:val="22"/>
          <w:szCs w:val="22"/>
          <w:u w:val="none"/>
        </w:rPr>
        <w:t>9</w:t>
      </w:r>
      <w:r>
        <w:rPr>
          <w:rFonts w:cs="Verdana" w:ascii="Verdana" w:hAnsi="Verdana"/>
          <w:b w:val="false"/>
          <w:bCs w:val="false"/>
          <w:color w:val="000000"/>
          <w:sz w:val="22"/>
          <w:szCs w:val="22"/>
          <w:u w:val="none"/>
        </w:rPr>
        <w:t>.1. Certidão negativa de falência, recuperação judicial e extrajudicial, expedida pelo cartório distribuidor da sede da Licitante ou por meio digital, emitida em até 30 (trinta) dias anteriores à data de abertura da Dispensa de Licitação;</w:t>
      </w:r>
    </w:p>
    <w:p>
      <w:pPr>
        <w:pStyle w:val="Normal"/>
        <w:tabs>
          <w:tab w:val="clear" w:pos="708"/>
          <w:tab w:val="left" w:pos="850" w:leader="none"/>
        </w:tabs>
        <w:spacing w:lineRule="auto" w:line="240" w:before="57" w:after="57"/>
        <w:jc w:val="both"/>
        <w:rPr/>
      </w:pPr>
      <w:r>
        <w:rPr>
          <w:rFonts w:cs="Verdana" w:ascii="Verdana" w:hAnsi="Verdana"/>
          <w:b w:val="false"/>
          <w:bCs w:val="false"/>
          <w:color w:val="000000"/>
          <w:sz w:val="22"/>
          <w:szCs w:val="22"/>
          <w:u w:val="none"/>
        </w:rPr>
        <w:t>12.</w:t>
      </w:r>
      <w:r>
        <w:rPr>
          <w:rFonts w:eastAsia="Times New Roman" w:cs="Verdana" w:ascii="Verdana" w:hAnsi="Verdana"/>
          <w:b w:val="false"/>
          <w:bCs w:val="false"/>
          <w:color w:val="000000"/>
          <w:sz w:val="22"/>
          <w:szCs w:val="22"/>
          <w:u w:val="none"/>
        </w:rPr>
        <w:t>9</w:t>
      </w:r>
      <w:r>
        <w:rPr>
          <w:rFonts w:cs="Verdana" w:ascii="Verdana" w:hAnsi="Verdana"/>
          <w:b w:val="false"/>
          <w:bCs w:val="false"/>
          <w:color w:val="000000"/>
          <w:sz w:val="22"/>
          <w:szCs w:val="22"/>
          <w:u w:val="none"/>
        </w:rPr>
        <w:t>.2. Havendo algum prazo de validade estabelecido por cartório na certidão citada na letra anterior, será considerado o prazo constante da certidão para comprovação da sua validade.</w:t>
      </w:r>
    </w:p>
    <w:p>
      <w:pPr>
        <w:pStyle w:val="Normal"/>
        <w:tabs>
          <w:tab w:val="clear" w:pos="708"/>
          <w:tab w:val="left" w:pos="850" w:leader="none"/>
        </w:tabs>
        <w:spacing w:lineRule="auto" w:line="240" w:before="57" w:after="57"/>
        <w:ind w:left="-57" w:right="0" w:hanging="0"/>
        <w:jc w:val="both"/>
        <w:rPr/>
      </w:pPr>
      <w:r>
        <w:rPr>
          <w:rFonts w:cs="Verdana" w:ascii="Verdana" w:hAnsi="Verdana"/>
          <w:b w:val="false"/>
          <w:bCs w:val="false"/>
          <w:sz w:val="22"/>
          <w:szCs w:val="22"/>
          <w:u w:val="none"/>
        </w:rPr>
        <w:t>12.</w:t>
      </w:r>
      <w:r>
        <w:rPr>
          <w:rFonts w:eastAsia="Times New Roman" w:cs="Verdana" w:ascii="Verdana" w:hAnsi="Verdana"/>
          <w:b w:val="false"/>
          <w:bCs w:val="false"/>
          <w:sz w:val="22"/>
          <w:szCs w:val="22"/>
          <w:u w:val="none"/>
        </w:rPr>
        <w:t>9</w:t>
      </w:r>
      <w:r>
        <w:rPr>
          <w:rFonts w:cs="Verdana" w:ascii="Verdana" w:hAnsi="Verdana"/>
          <w:b w:val="false"/>
          <w:bCs w:val="false"/>
          <w:sz w:val="22"/>
          <w:szCs w:val="22"/>
          <w:u w:val="none"/>
        </w:rPr>
        <w:t>.3. Para a contagem do prazo estabelecido na letra “a” deste capítulo, será contado a partir do primeiro dia que antecede a data da realização desta dispensa de licitação.</w:t>
      </w:r>
    </w:p>
    <w:p>
      <w:pPr>
        <w:pStyle w:val="Normal"/>
        <w:tabs>
          <w:tab w:val="clear" w:pos="708"/>
          <w:tab w:val="left" w:pos="850" w:leader="none"/>
        </w:tabs>
        <w:spacing w:lineRule="auto" w:line="240" w:before="57" w:after="57"/>
        <w:ind w:left="-79" w:right="0" w:hanging="0"/>
        <w:jc w:val="both"/>
        <w:rPr/>
      </w:pPr>
      <w:r>
        <w:rPr>
          <w:rFonts w:cs="Verdana" w:ascii="Verdana" w:hAnsi="Verdana"/>
          <w:b w:val="false"/>
          <w:bCs w:val="false"/>
          <w:iCs/>
          <w:color w:val="000000"/>
          <w:sz w:val="22"/>
          <w:szCs w:val="22"/>
          <w:u w:val="none"/>
          <w:lang w:eastAsia="en-US"/>
        </w:rPr>
        <w:t>12.</w:t>
      </w:r>
      <w:r>
        <w:rPr>
          <w:rFonts w:eastAsia="Times New Roman" w:cs="Verdana" w:ascii="Verdana" w:hAnsi="Verdana"/>
          <w:b w:val="false"/>
          <w:bCs w:val="false"/>
          <w:iCs/>
          <w:color w:val="000000"/>
          <w:sz w:val="22"/>
          <w:szCs w:val="22"/>
          <w:u w:val="none"/>
          <w:lang w:eastAsia="en-US"/>
        </w:rPr>
        <w:t>9</w:t>
      </w:r>
      <w:r>
        <w:rPr>
          <w:rFonts w:cs="Verdana" w:ascii="Verdana" w:hAnsi="Verdana"/>
          <w:b w:val="false"/>
          <w:bCs w:val="false"/>
          <w:iCs/>
          <w:color w:val="000000"/>
          <w:sz w:val="22"/>
          <w:szCs w:val="22"/>
          <w:u w:val="none"/>
          <w:lang w:eastAsia="en-US"/>
        </w:rPr>
        <w:t>.4.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tabs>
          <w:tab w:val="clear" w:pos="708"/>
          <w:tab w:val="left" w:pos="850" w:leader="none"/>
        </w:tabs>
        <w:spacing w:lineRule="auto" w:line="240" w:before="0" w:after="0"/>
        <w:ind w:left="-79" w:right="0" w:hanging="0"/>
        <w:jc w:val="both"/>
        <w:rPr>
          <w:rFonts w:ascii="Verdana" w:hAnsi="Verdana"/>
          <w:sz w:val="22"/>
          <w:szCs w:val="22"/>
        </w:rPr>
      </w:pPr>
      <w:r>
        <w:rPr>
          <w:rFonts w:ascii="Verdana" w:hAnsi="Verdana"/>
          <w:sz w:val="22"/>
          <w:szCs w:val="22"/>
        </w:rPr>
      </w:r>
    </w:p>
    <w:p>
      <w:pPr>
        <w:pStyle w:val="Normal"/>
        <w:spacing w:lineRule="auto" w:line="240"/>
        <w:ind w:left="0" w:right="0" w:hanging="0"/>
        <w:jc w:val="both"/>
        <w:rPr/>
      </w:pPr>
      <w:r>
        <w:rPr>
          <w:rFonts w:ascii="Verdana" w:hAnsi="Verdana"/>
          <w:b/>
          <w:bCs/>
          <w:sz w:val="22"/>
          <w:szCs w:val="22"/>
          <w:u w:val="none"/>
        </w:rPr>
        <w:t>13. CRITÉRIOS DE PAGAMENTO</w:t>
      </w:r>
    </w:p>
    <w:p>
      <w:pPr>
        <w:pStyle w:val="Normal"/>
        <w:spacing w:lineRule="auto" w:line="240"/>
        <w:ind w:left="0" w:right="0" w:hanging="0"/>
        <w:jc w:val="both"/>
        <w:rPr/>
      </w:pPr>
      <w:r>
        <w:rPr>
          <w:rFonts w:ascii="Verdana" w:hAnsi="Verdana"/>
          <w:b w:val="false"/>
          <w:bCs w:val="false"/>
          <w:sz w:val="22"/>
          <w:szCs w:val="22"/>
          <w:u w:val="none"/>
          <w:lang w:eastAsia="en-US"/>
        </w:rPr>
        <w:t xml:space="preserve">13.1. Recebida a Nota Fiscal ou documento de cobrança equivalente, correrá o prazo de </w:t>
      </w:r>
      <w:r>
        <w:rPr>
          <w:rFonts w:eastAsia="Times New Roman" w:cs="Times New Roman" w:ascii="Verdana" w:hAnsi="Verdana"/>
          <w:b w:val="false"/>
          <w:bCs w:val="false"/>
          <w:sz w:val="22"/>
          <w:szCs w:val="22"/>
          <w:u w:val="none"/>
          <w:lang w:eastAsia="en-US"/>
        </w:rPr>
        <w:t>(30) trinta</w:t>
      </w:r>
      <w:r>
        <w:rPr>
          <w:rFonts w:ascii="Verdana" w:hAnsi="Verdana"/>
          <w:b w:val="false"/>
          <w:bCs w:val="false"/>
          <w:sz w:val="22"/>
          <w:szCs w:val="22"/>
          <w:u w:val="none"/>
          <w:lang w:eastAsia="en-US"/>
        </w:rPr>
        <w:t xml:space="preserve"> dias úteis para fins de liquidação, na forma desta seção, prorrogáveis por igual período.</w:t>
      </w:r>
    </w:p>
    <w:p>
      <w:pPr>
        <w:pStyle w:val="Normal"/>
        <w:spacing w:lineRule="auto" w:line="240"/>
        <w:ind w:left="-22" w:right="0" w:hanging="0"/>
        <w:jc w:val="both"/>
        <w:rPr/>
      </w:pPr>
      <w:r>
        <w:rPr>
          <w:rFonts w:ascii="Verdana" w:hAnsi="Verdana"/>
          <w:b w:val="false"/>
          <w:bCs w:val="false"/>
          <w:sz w:val="22"/>
          <w:szCs w:val="22"/>
          <w:u w:val="none"/>
        </w:rPr>
        <w:t xml:space="preserve">13.2. O prazo de que trata o item anterior será reduzido à metade, mantendo-se a possibilidade de prorrogação, no caso de contratações decorrentes de despesas cujos valores não ultrapassem o limite de que trata o </w:t>
      </w:r>
      <w:r>
        <w:fldChar w:fldCharType="begin"/>
      </w:r>
      <w:r>
        <w:rPr>
          <w:sz w:val="22"/>
          <w:u w:val="none"/>
          <w:b w:val="false"/>
          <w:szCs w:val="22"/>
          <w:bCs w:val="false"/>
          <w:rFonts w:ascii="Verdana" w:hAnsi="Verdana"/>
          <w:color w:val="000000"/>
        </w:rPr>
        <w:instrText xml:space="preserve"> HYPERLINK "http://www.planalto.gov.br/ccivil_03/_ato2019-2022/2021/lei/L14133.htm" \l "art75"</w:instrText>
      </w:r>
      <w:r>
        <w:rPr>
          <w:sz w:val="22"/>
          <w:u w:val="none"/>
          <w:b w:val="false"/>
          <w:szCs w:val="22"/>
          <w:bCs w:val="false"/>
          <w:rFonts w:ascii="Verdana" w:hAnsi="Verdana"/>
          <w:color w:val="000000"/>
        </w:rPr>
        <w:fldChar w:fldCharType="separate"/>
      </w:r>
      <w:r>
        <w:rPr>
          <w:rFonts w:ascii="Verdana" w:hAnsi="Verdana"/>
          <w:b w:val="false"/>
          <w:bCs w:val="false"/>
          <w:color w:val="000000"/>
          <w:sz w:val="22"/>
          <w:szCs w:val="22"/>
          <w:u w:val="none"/>
        </w:rPr>
        <w:t>inciso II do art. 75 da Lei nº 14.133, de 2021</w:t>
      </w:r>
      <w:r>
        <w:rPr>
          <w:sz w:val="22"/>
          <w:u w:val="none"/>
          <w:b w:val="false"/>
          <w:szCs w:val="22"/>
          <w:bCs w:val="false"/>
          <w:rFonts w:ascii="Verdana" w:hAnsi="Verdana"/>
          <w:color w:val="000000"/>
        </w:rPr>
        <w:fldChar w:fldCharType="end"/>
      </w:r>
      <w:r>
        <w:rPr>
          <w:rFonts w:ascii="Verdana" w:hAnsi="Verdana"/>
          <w:b w:val="false"/>
          <w:bCs w:val="false"/>
          <w:color w:val="000000"/>
          <w:sz w:val="22"/>
          <w:szCs w:val="22"/>
          <w:u w:val="none"/>
        </w:rPr>
        <w:t>.</w:t>
      </w:r>
    </w:p>
    <w:p>
      <w:pPr>
        <w:pStyle w:val="Normal"/>
        <w:spacing w:lineRule="auto" w:line="240"/>
        <w:ind w:left="-22" w:right="0" w:hanging="0"/>
        <w:jc w:val="both"/>
        <w:rPr/>
      </w:pPr>
      <w:r>
        <w:rPr>
          <w:rFonts w:ascii="Verdana" w:hAnsi="Verdana"/>
          <w:b w:val="false"/>
          <w:bCs w:val="false"/>
          <w:sz w:val="22"/>
          <w:szCs w:val="22"/>
          <w:u w:val="none"/>
        </w:rPr>
        <w:t xml:space="preserve">1233. Para fins de liquidação, o setor competente deverá verificar se a nota fiscal ou instrumento de cobrança equivalente apresentado expressa os elementos necessários e essenciais do documento, tais como: </w:t>
      </w:r>
    </w:p>
    <w:p>
      <w:pPr>
        <w:pStyle w:val="Normal"/>
        <w:tabs>
          <w:tab w:val="clear" w:pos="708"/>
          <w:tab w:val="left" w:pos="563" w:leader="none"/>
        </w:tabs>
        <w:spacing w:lineRule="auto" w:line="240"/>
        <w:ind w:left="432" w:right="0" w:hanging="0"/>
        <w:jc w:val="both"/>
        <w:rPr/>
      </w:pPr>
      <w:r>
        <w:rPr>
          <w:rFonts w:ascii="Verdana" w:hAnsi="Verdana"/>
          <w:b w:val="false"/>
          <w:bCs w:val="false"/>
          <w:sz w:val="22"/>
          <w:szCs w:val="22"/>
          <w:u w:val="none"/>
        </w:rPr>
        <w:t>- O prazo de validade;</w:t>
      </w:r>
    </w:p>
    <w:p>
      <w:pPr>
        <w:pStyle w:val="Normal"/>
        <w:tabs>
          <w:tab w:val="clear" w:pos="708"/>
          <w:tab w:val="left" w:pos="563" w:leader="none"/>
        </w:tabs>
        <w:spacing w:lineRule="auto" w:line="240"/>
        <w:ind w:left="432" w:right="0" w:hanging="0"/>
        <w:jc w:val="both"/>
        <w:rPr/>
      </w:pPr>
      <w:r>
        <w:rPr>
          <w:rFonts w:ascii="Verdana" w:hAnsi="Verdana"/>
          <w:b w:val="false"/>
          <w:bCs w:val="false"/>
          <w:sz w:val="22"/>
          <w:szCs w:val="22"/>
          <w:u w:val="none"/>
        </w:rPr>
        <w:t xml:space="preserve">- A data da emissão; </w:t>
      </w:r>
    </w:p>
    <w:p>
      <w:pPr>
        <w:pStyle w:val="Normal"/>
        <w:tabs>
          <w:tab w:val="clear" w:pos="708"/>
          <w:tab w:val="left" w:pos="563" w:leader="none"/>
        </w:tabs>
        <w:spacing w:lineRule="auto" w:line="240"/>
        <w:ind w:left="432" w:right="0" w:hanging="0"/>
        <w:jc w:val="both"/>
        <w:rPr/>
      </w:pPr>
      <w:r>
        <w:rPr>
          <w:rFonts w:ascii="Verdana" w:hAnsi="Verdana"/>
          <w:b w:val="false"/>
          <w:bCs w:val="false"/>
          <w:sz w:val="22"/>
          <w:szCs w:val="22"/>
          <w:u w:val="none"/>
        </w:rPr>
        <w:t xml:space="preserve">- Os dados do contrato e do órgão contratante; </w:t>
      </w:r>
    </w:p>
    <w:p>
      <w:pPr>
        <w:pStyle w:val="Normal"/>
        <w:tabs>
          <w:tab w:val="clear" w:pos="708"/>
          <w:tab w:val="left" w:pos="563" w:leader="none"/>
        </w:tabs>
        <w:spacing w:lineRule="auto" w:line="240"/>
        <w:ind w:left="432" w:right="0" w:hanging="0"/>
        <w:jc w:val="both"/>
        <w:rPr/>
      </w:pPr>
      <w:r>
        <w:rPr>
          <w:rFonts w:ascii="Verdana" w:hAnsi="Verdana"/>
          <w:b w:val="false"/>
          <w:bCs w:val="false"/>
          <w:sz w:val="22"/>
          <w:szCs w:val="22"/>
          <w:u w:val="none"/>
        </w:rPr>
        <w:t xml:space="preserve">- O período respectivo de execução do contrato; </w:t>
      </w:r>
    </w:p>
    <w:p>
      <w:pPr>
        <w:pStyle w:val="Normal"/>
        <w:tabs>
          <w:tab w:val="clear" w:pos="708"/>
          <w:tab w:val="left" w:pos="563" w:leader="none"/>
        </w:tabs>
        <w:spacing w:lineRule="auto" w:line="240"/>
        <w:ind w:left="432" w:right="0" w:hanging="0"/>
        <w:jc w:val="both"/>
        <w:rPr/>
      </w:pPr>
      <w:r>
        <w:rPr>
          <w:rFonts w:ascii="Verdana" w:hAnsi="Verdana"/>
          <w:b w:val="false"/>
          <w:bCs w:val="false"/>
          <w:sz w:val="22"/>
          <w:szCs w:val="22"/>
          <w:u w:val="none"/>
        </w:rPr>
        <w:t xml:space="preserve">- O valor a pagar; e </w:t>
      </w:r>
    </w:p>
    <w:p>
      <w:pPr>
        <w:pStyle w:val="Normal"/>
        <w:tabs>
          <w:tab w:val="clear" w:pos="708"/>
          <w:tab w:val="left" w:pos="563" w:leader="none"/>
        </w:tabs>
        <w:spacing w:lineRule="auto" w:line="240"/>
        <w:ind w:left="432" w:right="0" w:hanging="0"/>
        <w:jc w:val="both"/>
        <w:rPr/>
      </w:pPr>
      <w:r>
        <w:rPr>
          <w:rFonts w:ascii="Verdana" w:hAnsi="Verdana"/>
          <w:b w:val="false"/>
          <w:bCs w:val="false"/>
          <w:sz w:val="22"/>
          <w:szCs w:val="22"/>
          <w:u w:val="none"/>
        </w:rPr>
        <w:t>- Eventual destaque do valor de retenções tributárias cabíveis.</w:t>
      </w:r>
    </w:p>
    <w:p>
      <w:pPr>
        <w:pStyle w:val="Normal"/>
        <w:tabs>
          <w:tab w:val="clear" w:pos="708"/>
          <w:tab w:val="left" w:pos="0" w:leader="none"/>
          <w:tab w:val="left" w:pos="563" w:leader="none"/>
        </w:tabs>
        <w:spacing w:lineRule="auto" w:line="240"/>
        <w:ind w:left="-22" w:right="0" w:hanging="0"/>
        <w:jc w:val="both"/>
        <w:rPr/>
      </w:pPr>
      <w:r>
        <w:rPr>
          <w:rFonts w:ascii="Verdana" w:hAnsi="Verdana"/>
          <w:b w:val="false"/>
          <w:bCs w:val="false"/>
          <w:sz w:val="22"/>
          <w:szCs w:val="22"/>
          <w:u w:val="none"/>
        </w:rPr>
        <w:t>13.4.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240"/>
        <w:ind w:left="-22" w:right="0" w:hanging="0"/>
        <w:jc w:val="both"/>
        <w:rPr/>
      </w:pPr>
      <w:r>
        <w:rPr>
          <w:rFonts w:ascii="Verdana" w:hAnsi="Verdana"/>
          <w:b w:val="false"/>
          <w:bCs w:val="false"/>
          <w:sz w:val="22"/>
          <w:szCs w:val="22"/>
          <w:u w:val="none"/>
        </w:rPr>
        <w:t>13.5. A</w:t>
      </w:r>
      <w:r>
        <w:rPr>
          <w:rFonts w:ascii="Verdana" w:hAnsi="Verdana"/>
          <w:b w:val="false"/>
          <w:bCs w:val="false"/>
          <w:sz w:val="22"/>
          <w:szCs w:val="22"/>
          <w:u w:val="none"/>
          <w:lang w:eastAsia="en-US"/>
        </w:rPr>
        <w:t xml:space="preserve"> nota fiscal ou instrumento de cobrança equivalente deverá ser obrigatoriamente acompanhado da comprovação da regularidade fiscal</w:t>
      </w:r>
      <w:r>
        <w:rPr>
          <w:rStyle w:val="LinkdaInternet"/>
          <w:rFonts w:ascii="Verdana" w:hAnsi="Verdana"/>
          <w:b w:val="false"/>
          <w:bCs w:val="false"/>
          <w:sz w:val="22"/>
          <w:szCs w:val="22"/>
          <w:u w:val="none"/>
          <w:lang w:eastAsia="en-US"/>
        </w:rPr>
        <w:t>.</w:t>
      </w:r>
    </w:p>
    <w:p>
      <w:pPr>
        <w:pStyle w:val="Normal"/>
        <w:spacing w:lineRule="auto" w:line="240"/>
        <w:ind w:left="-22" w:right="0" w:hanging="0"/>
        <w:jc w:val="both"/>
        <w:rPr/>
      </w:pPr>
      <w:r>
        <w:rPr>
          <w:rFonts w:ascii="Verdana" w:hAnsi="Verdana"/>
          <w:b w:val="false"/>
          <w:bCs w:val="false"/>
          <w:sz w:val="22"/>
          <w:szCs w:val="22"/>
          <w:u w:val="none"/>
        </w:rPr>
        <w:t>13.6. O pagamento será efetuado no prazo de até 30 (trinta) dias úteis contados da finalização da liquidação da despesa.</w:t>
      </w:r>
    </w:p>
    <w:p>
      <w:pPr>
        <w:pStyle w:val="Normal"/>
        <w:spacing w:lineRule="auto" w:line="240"/>
        <w:ind w:left="-22" w:right="0" w:hanging="0"/>
        <w:jc w:val="both"/>
        <w:rPr/>
      </w:pPr>
      <w:r>
        <w:rPr>
          <w:rFonts w:ascii="Verdana" w:hAnsi="Verdana"/>
          <w:b w:val="false"/>
          <w:bCs w:val="false"/>
          <w:sz w:val="22"/>
          <w:szCs w:val="22"/>
          <w:u w:val="none"/>
        </w:rPr>
        <w:t>13.7. O pagamento será realizado por meio de ordem bancária, para crédito em banco, agência e conta corrente indicados pelo contratado.</w:t>
      </w:r>
    </w:p>
    <w:p>
      <w:pPr>
        <w:pStyle w:val="Normal"/>
        <w:spacing w:lineRule="auto" w:line="240"/>
        <w:ind w:left="-22" w:right="0" w:hanging="0"/>
        <w:jc w:val="both"/>
        <w:rPr/>
      </w:pPr>
      <w:r>
        <w:rPr>
          <w:rFonts w:ascii="Verdana" w:hAnsi="Verdana"/>
          <w:b w:val="false"/>
          <w:bCs w:val="false"/>
          <w:sz w:val="22"/>
          <w:szCs w:val="22"/>
          <w:u w:val="none"/>
        </w:rPr>
        <w:t>12.8. Será considerada data do pagamento o dia em que constar como emitida a ordem bancária para pagamento.</w:t>
      </w:r>
    </w:p>
    <w:p>
      <w:pPr>
        <w:pStyle w:val="Normal"/>
        <w:spacing w:lineRule="auto" w:line="240"/>
        <w:ind w:left="-79" w:right="0" w:hanging="0"/>
        <w:jc w:val="both"/>
        <w:rPr/>
      </w:pPr>
      <w:r>
        <w:rPr>
          <w:rFonts w:ascii="Verdana" w:hAnsi="Verdana"/>
          <w:b w:val="false"/>
          <w:bCs w:val="false"/>
          <w:sz w:val="22"/>
          <w:szCs w:val="22"/>
          <w:u w:val="none"/>
        </w:rPr>
        <w:t>13.9. Quando do pagamento, será efetuada a retenção tributária prevista na legislação aplicável.</w:t>
      </w:r>
    </w:p>
    <w:p>
      <w:pPr>
        <w:pStyle w:val="Normal"/>
        <w:spacing w:lineRule="auto" w:line="240"/>
        <w:ind w:left="-79" w:right="0" w:hanging="0"/>
        <w:jc w:val="both"/>
        <w:rPr/>
      </w:pPr>
      <w:r>
        <w:rPr>
          <w:rFonts w:ascii="Verdana" w:hAnsi="Verdana"/>
          <w:b w:val="false"/>
          <w:bCs w:val="false"/>
          <w:sz w:val="22"/>
          <w:szCs w:val="22"/>
          <w:u w:val="none"/>
          <w:lang w:eastAsia="en-US"/>
        </w:rPr>
        <w:t xml:space="preserve">13.10. O contratado regularmente optante pelo Simples Nacional, nos termos da </w:t>
      </w:r>
      <w:hyperlink r:id="rId9">
        <w:r>
          <w:rPr>
            <w:rFonts w:ascii="Verdana" w:hAnsi="Verdana"/>
            <w:b w:val="false"/>
            <w:bCs w:val="false"/>
            <w:sz w:val="22"/>
            <w:szCs w:val="22"/>
            <w:u w:val="none"/>
            <w:lang w:eastAsia="en-US"/>
          </w:rPr>
          <w:t>Lei Complementar nº 123, de 2006</w:t>
        </w:r>
      </w:hyperlink>
      <w:r>
        <w:rPr>
          <w:rFonts w:ascii="Verdana" w:hAnsi="Verdana"/>
          <w:b w:val="false"/>
          <w:bCs w:val="false"/>
          <w:sz w:val="22"/>
          <w:szCs w:val="22"/>
          <w:u w:val="none"/>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240"/>
        <w:ind w:left="-79" w:right="0" w:hanging="0"/>
        <w:jc w:val="both"/>
        <w:rPr/>
      </w:pPr>
      <w:r>
        <w:rPr>
          <w:rFonts w:ascii="Verdana" w:hAnsi="Verdana"/>
          <w:b w:val="false"/>
          <w:bCs w:val="false"/>
          <w:sz w:val="22"/>
          <w:szCs w:val="22"/>
          <w:u w:val="none"/>
          <w:lang w:eastAsia="en-US"/>
        </w:rPr>
        <w:t>13.11.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PargrafodaLista"/>
        <w:tabs>
          <w:tab w:val="clear" w:pos="708"/>
          <w:tab w:val="left" w:pos="518" w:leader="none"/>
        </w:tabs>
        <w:spacing w:lineRule="auto" w:line="240"/>
        <w:ind w:left="0" w:right="0" w:hanging="0"/>
        <w:jc w:val="both"/>
        <w:rPr/>
      </w:pPr>
      <w:r>
        <w:rPr>
          <w:rFonts w:ascii="Verdana" w:hAnsi="Verdana"/>
          <w:b w:val="false"/>
          <w:bCs w:val="false"/>
          <w:color w:val="000000"/>
          <w:sz w:val="22"/>
          <w:szCs w:val="22"/>
          <w:u w:val="none"/>
        </w:rPr>
        <w:t xml:space="preserve">13.11. </w:t>
      </w:r>
      <w:r>
        <w:rPr>
          <w:rFonts w:ascii="Verdana" w:hAnsi="Verdana"/>
          <w:b w:val="false"/>
          <w:bCs w:val="false"/>
          <w:sz w:val="22"/>
          <w:szCs w:val="22"/>
          <w:u w:val="none"/>
        </w:rPr>
        <w:t xml:space="preserve"> Após o pra</w:t>
      </w:r>
      <w:r>
        <w:rPr>
          <w:rFonts w:ascii="Verdana" w:hAnsi="Verdana"/>
          <w:sz w:val="22"/>
          <w:szCs w:val="22"/>
          <w:u w:val="none"/>
        </w:rPr>
        <w:t>zo acima referenciado, será paga multa financeira nos seguintes termos:</w:t>
      </w:r>
    </w:p>
    <w:p>
      <w:pPr>
        <w:pStyle w:val="PargrafodaLista"/>
        <w:tabs>
          <w:tab w:val="clear" w:pos="708"/>
          <w:tab w:val="left" w:pos="518" w:leader="none"/>
        </w:tabs>
        <w:spacing w:lineRule="auto" w:line="240"/>
        <w:ind w:left="0" w:right="0" w:hanging="0"/>
        <w:jc w:val="both"/>
        <w:rPr/>
      </w:pPr>
      <w:r>
        <w:rPr>
          <w:rFonts w:cs="Verdana" w:ascii="Verdana" w:hAnsi="Verdana"/>
          <w:sz w:val="22"/>
          <w:szCs w:val="22"/>
          <w:u w:val="none"/>
        </w:rPr>
        <w:t xml:space="preserve">VM = VF </w:t>
      </w:r>
      <w:r>
        <w:rPr>
          <w:rFonts w:cs="Verdana" w:ascii="Verdana" w:hAnsi="Verdana"/>
          <w:sz w:val="22"/>
          <w:szCs w:val="22"/>
          <w:u w:val="none"/>
          <w:vertAlign w:val="subscript"/>
        </w:rPr>
        <w:t>*</w:t>
      </w:r>
      <w:r>
        <w:rPr>
          <w:rFonts w:cs="Verdana" w:ascii="Verdana" w:hAnsi="Verdana"/>
          <w:sz w:val="22"/>
          <w:szCs w:val="22"/>
          <w:u w:val="none"/>
        </w:rPr>
        <w:t xml:space="preserve"> 0,33 </w:t>
      </w:r>
      <w:r>
        <w:rPr>
          <w:rFonts w:cs="Verdana" w:ascii="Verdana" w:hAnsi="Verdana"/>
          <w:sz w:val="22"/>
          <w:szCs w:val="22"/>
          <w:u w:val="none"/>
          <w:vertAlign w:val="subscript"/>
        </w:rPr>
        <w:t>*</w:t>
      </w:r>
      <w:r>
        <w:rPr>
          <w:rFonts w:cs="Verdana" w:ascii="Verdana" w:hAnsi="Verdana"/>
          <w:sz w:val="22"/>
          <w:szCs w:val="22"/>
          <w:u w:val="none"/>
        </w:rPr>
        <w:t xml:space="preserve"> ND</w:t>
      </w:r>
    </w:p>
    <w:p>
      <w:pPr>
        <w:pStyle w:val="PargrafodaLista"/>
        <w:tabs>
          <w:tab w:val="clear" w:pos="708"/>
          <w:tab w:val="left" w:pos="518" w:leader="none"/>
        </w:tabs>
        <w:spacing w:lineRule="auto" w:line="240"/>
        <w:ind w:left="0" w:right="0" w:hanging="0"/>
        <w:jc w:val="center"/>
        <w:rPr/>
      </w:pPr>
      <w:r>
        <w:rPr>
          <w:rFonts w:eastAsia="Verdana" w:cs="Verdana" w:ascii="Verdana" w:hAnsi="Verdana"/>
          <w:sz w:val="22"/>
          <w:szCs w:val="22"/>
          <w:u w:val="none"/>
        </w:rPr>
        <w:t xml:space="preserve">        </w:t>
      </w:r>
      <w:r>
        <w:rPr>
          <w:rFonts w:cs="Verdana" w:ascii="Verdana" w:hAnsi="Verdana"/>
          <w:sz w:val="22"/>
          <w:szCs w:val="22"/>
          <w:u w:val="none"/>
        </w:rPr>
        <w:t>100</w:t>
      </w:r>
    </w:p>
    <w:p>
      <w:pPr>
        <w:pStyle w:val="Normal"/>
        <w:suppressAutoHyphens w:val="false"/>
        <w:spacing w:lineRule="auto" w:line="240"/>
        <w:rPr/>
      </w:pPr>
      <w:r>
        <w:rPr>
          <w:rFonts w:cs="Arial" w:ascii="Verdana" w:hAnsi="Verdana"/>
          <w:color w:val="000000"/>
          <w:sz w:val="22"/>
          <w:szCs w:val="22"/>
          <w:u w:val="none"/>
        </w:rPr>
        <w:t xml:space="preserve">Onde: </w:t>
      </w:r>
    </w:p>
    <w:p>
      <w:pPr>
        <w:pStyle w:val="Normal"/>
        <w:suppressAutoHyphens w:val="false"/>
        <w:spacing w:lineRule="auto" w:line="240"/>
        <w:rPr/>
      </w:pPr>
      <w:r>
        <w:rPr>
          <w:rFonts w:cs="Arial" w:ascii="Verdana" w:hAnsi="Verdana"/>
          <w:color w:val="000000"/>
          <w:sz w:val="22"/>
          <w:szCs w:val="22"/>
          <w:u w:val="none"/>
        </w:rPr>
        <w:t xml:space="preserve">VM = Valor da Multa Financeira; </w:t>
      </w:r>
    </w:p>
    <w:p>
      <w:pPr>
        <w:pStyle w:val="Normal"/>
        <w:suppressAutoHyphens w:val="false"/>
        <w:spacing w:lineRule="auto" w:line="240"/>
        <w:rPr/>
      </w:pPr>
      <w:r>
        <w:rPr>
          <w:rFonts w:cs="Arial" w:ascii="Verdana" w:hAnsi="Verdana"/>
          <w:color w:val="000000"/>
          <w:sz w:val="22"/>
          <w:szCs w:val="22"/>
          <w:u w:val="none"/>
        </w:rPr>
        <w:t xml:space="preserve">VF = Valor da Nota Fiscal; </w:t>
      </w:r>
    </w:p>
    <w:p>
      <w:pPr>
        <w:pStyle w:val="PargrafodaLista"/>
        <w:tabs>
          <w:tab w:val="clear" w:pos="708"/>
          <w:tab w:val="left" w:pos="518" w:leader="none"/>
        </w:tabs>
        <w:spacing w:lineRule="auto" w:line="240"/>
        <w:ind w:left="0" w:right="0" w:hanging="0"/>
        <w:rPr/>
      </w:pPr>
      <w:r>
        <w:rPr>
          <w:rFonts w:eastAsia="Times New Roman" w:cs="Arial" w:ascii="Verdana" w:hAnsi="Verdana"/>
          <w:color w:val="000000"/>
          <w:sz w:val="22"/>
          <w:szCs w:val="22"/>
          <w:u w:val="none"/>
        </w:rPr>
        <w:t>ND = Número de dias em atraso.</w:t>
      </w:r>
    </w:p>
    <w:p>
      <w:pPr>
        <w:pStyle w:val="PargrafodaLista"/>
        <w:tabs>
          <w:tab w:val="clear" w:pos="708"/>
          <w:tab w:val="left" w:pos="518" w:leader="none"/>
        </w:tabs>
        <w:spacing w:lineRule="auto" w:line="240"/>
        <w:ind w:left="0" w:right="0" w:hanging="0"/>
        <w:rPr/>
      </w:pPr>
      <w:r>
        <w:rPr>
          <w:rFonts w:eastAsia="Times New Roman" w:cs="Arial" w:ascii="Verdana" w:hAnsi="Verdana"/>
          <w:b w:val="false"/>
          <w:bCs w:val="false"/>
          <w:color w:val="000000"/>
          <w:sz w:val="22"/>
          <w:szCs w:val="22"/>
          <w:u w:val="none"/>
        </w:rPr>
        <w:t xml:space="preserve">13.12.. </w:t>
      </w:r>
      <w:r>
        <w:rPr>
          <w:rFonts w:cs="Arial" w:ascii="Verdana" w:hAnsi="Verdana"/>
          <w:b w:val="false"/>
          <w:bCs w:val="false"/>
          <w:color w:val="000000"/>
          <w:sz w:val="22"/>
          <w:szCs w:val="22"/>
          <w:u w:val="none"/>
        </w:rPr>
        <w:t>A NOTA FISCAL ELETRÔNICA deverá conter o mesmo CNPJ e razão social apresentados quando na proposta, assim como, o número da contratação, o (s) objeto (s), os valores unitários e totais.</w:t>
      </w:r>
    </w:p>
    <w:p>
      <w:pPr>
        <w:pStyle w:val="PargrafodaLista"/>
        <w:tabs>
          <w:tab w:val="clear" w:pos="708"/>
          <w:tab w:val="left" w:pos="518" w:leader="none"/>
        </w:tabs>
        <w:spacing w:lineRule="auto" w:line="240"/>
        <w:ind w:left="0" w:right="0" w:hanging="0"/>
        <w:rPr/>
      </w:pPr>
      <w:r>
        <w:rPr>
          <w:rFonts w:eastAsia="Times New Roman" w:cs="Arial" w:ascii="Verdana" w:hAnsi="Verdana"/>
          <w:b w:val="false"/>
          <w:bCs w:val="false"/>
          <w:color w:val="000000"/>
          <w:sz w:val="22"/>
          <w:szCs w:val="22"/>
          <w:u w:val="none"/>
        </w:rPr>
        <w:t>13.13.</w:t>
      </w:r>
      <w:r>
        <w:rPr>
          <w:rFonts w:cs="Arial" w:ascii="Verdana" w:hAnsi="Verdana"/>
          <w:b w:val="false"/>
          <w:bCs w:val="false"/>
          <w:color w:val="000000"/>
          <w:sz w:val="22"/>
          <w:szCs w:val="22"/>
          <w:u w:val="none"/>
        </w:rPr>
        <w:t xml:space="preserve"> Qualquer alteração feita no contrato social, ato constitutivo ou estatuto deverá ser ois comunicado ao CONTRATANTE, mediante documentação própria, para apreciação da autoridade competente. </w:t>
      </w:r>
    </w:p>
    <w:p>
      <w:pPr>
        <w:pStyle w:val="Normal"/>
        <w:suppressAutoHyphens w:val="false"/>
        <w:spacing w:lineRule="auto" w:line="240"/>
        <w:jc w:val="both"/>
        <w:rPr/>
      </w:pPr>
      <w:r>
        <w:rPr>
          <w:rFonts w:eastAsia="Times New Roman" w:cs="Arial" w:ascii="Verdana" w:hAnsi="Verdana"/>
          <w:b w:val="false"/>
          <w:bCs w:val="false"/>
          <w:color w:val="000000"/>
          <w:sz w:val="22"/>
          <w:szCs w:val="22"/>
          <w:u w:val="none"/>
        </w:rPr>
        <w:t xml:space="preserve">13.14. </w:t>
      </w:r>
      <w:r>
        <w:rPr>
          <w:rFonts w:cs="Arial" w:ascii="Verdana" w:hAnsi="Verdana"/>
          <w:b w:val="false"/>
          <w:bCs w:val="false"/>
          <w:color w:val="000000"/>
          <w:sz w:val="22"/>
          <w:szCs w:val="22"/>
          <w:u w:val="none"/>
        </w:rPr>
        <w:t>O CONTRATANTE poderá deduzir do pagamento importâncias que a qualquer título lhe forem devidos pela empresa CONTRATADA, em decorrência de descumprimento de suas obrigações.</w:t>
      </w:r>
    </w:p>
    <w:p>
      <w:pPr>
        <w:pStyle w:val="Default"/>
        <w:tabs>
          <w:tab w:val="clear" w:pos="708"/>
          <w:tab w:val="left" w:pos="563" w:leader="none"/>
        </w:tabs>
        <w:spacing w:lineRule="auto" w:line="240"/>
        <w:ind w:left="-22" w:right="0" w:hanging="0"/>
        <w:jc w:val="both"/>
        <w:rPr/>
      </w:pPr>
      <w:r>
        <w:rPr>
          <w:rFonts w:cs="Arial" w:ascii="Verdana" w:hAnsi="Verdana"/>
          <w:b w:val="false"/>
          <w:bCs w:val="false"/>
          <w:sz w:val="22"/>
          <w:szCs w:val="22"/>
          <w:u w:val="none"/>
        </w:rPr>
        <w:t xml:space="preserve">13.15. </w:t>
      </w:r>
      <w:r>
        <w:rPr>
          <w:rFonts w:cs="Arial" w:ascii="Verdana" w:hAnsi="Verdana"/>
          <w:b w:val="false"/>
          <w:bCs w:val="false"/>
          <w:sz w:val="22"/>
          <w:szCs w:val="22"/>
          <w:u w:val="none"/>
          <w:lang w:eastAsia="en-US"/>
        </w:rPr>
        <w:t xml:space="preserve">Para a efetivação do pagamento, a CONTRATADA deverá manter as mesmas </w:t>
      </w:r>
      <w:r>
        <w:rPr>
          <w:rFonts w:cs="Arial" w:ascii="Verdana" w:hAnsi="Verdana"/>
          <w:b w:val="false"/>
          <w:bCs w:val="false"/>
          <w:sz w:val="22"/>
          <w:szCs w:val="22"/>
          <w:u w:val="none"/>
          <w:lang w:eastAsia="pt-BR"/>
        </w:rPr>
        <w:t>condições relativas à proposta de preço e a habilitação.</w:t>
      </w:r>
    </w:p>
    <w:p>
      <w:pPr>
        <w:pStyle w:val="Default"/>
        <w:tabs>
          <w:tab w:val="clear" w:pos="708"/>
          <w:tab w:val="left" w:pos="563" w:leader="none"/>
        </w:tabs>
        <w:spacing w:lineRule="auto" w:line="240"/>
        <w:ind w:left="-22" w:right="0" w:hanging="0"/>
        <w:jc w:val="both"/>
        <w:rPr>
          <w:rFonts w:ascii="Verdana" w:hAnsi="Verdana"/>
          <w:sz w:val="22"/>
          <w:szCs w:val="22"/>
        </w:rPr>
      </w:pPr>
      <w:r>
        <w:rPr>
          <w:rFonts w:ascii="Verdana" w:hAnsi="Verdana"/>
          <w:sz w:val="22"/>
          <w:szCs w:val="22"/>
        </w:rPr>
      </w:r>
    </w:p>
    <w:p>
      <w:pPr>
        <w:pStyle w:val="Normal"/>
        <w:suppressAutoHyphens w:val="false"/>
        <w:spacing w:lineRule="auto" w:line="240"/>
        <w:jc w:val="both"/>
        <w:rPr/>
      </w:pPr>
      <w:r>
        <w:rPr>
          <w:rFonts w:cs="Arial" w:ascii="Verdana" w:hAnsi="Verdana"/>
          <w:b/>
          <w:sz w:val="22"/>
          <w:szCs w:val="22"/>
        </w:rPr>
        <w:t>14. CONTRATAÇÕES CORRELATAS E/OU INTERDEPENDENTES</w:t>
      </w:r>
    </w:p>
    <w:p>
      <w:pPr>
        <w:pStyle w:val="Normal"/>
        <w:suppressAutoHyphens w:val="false"/>
        <w:spacing w:lineRule="auto" w:line="240"/>
        <w:jc w:val="both"/>
        <w:rPr/>
      </w:pPr>
      <w:r>
        <w:rPr>
          <w:rFonts w:cs="Arial" w:ascii="Verdana" w:hAnsi="Verdana"/>
          <w:b w:val="false"/>
          <w:bCs w:val="false"/>
          <w:sz w:val="22"/>
          <w:szCs w:val="22"/>
        </w:rPr>
        <w:t>14.1</w:t>
      </w:r>
      <w:r>
        <w:rPr>
          <w:rFonts w:cs="Arial" w:ascii="Verdana" w:hAnsi="Verdana"/>
          <w:b/>
          <w:bCs/>
          <w:sz w:val="22"/>
          <w:szCs w:val="22"/>
        </w:rPr>
        <w:t>.</w:t>
      </w:r>
      <w:r>
        <w:rPr>
          <w:rFonts w:cs="Arial" w:ascii="Verdana" w:hAnsi="Verdana"/>
          <w:sz w:val="22"/>
          <w:szCs w:val="22"/>
        </w:rPr>
        <w:t xml:space="preserve"> Não se verifica contratações correlatas ou interdependentes para a viabilidade e contratação desta demanda.</w:t>
      </w:r>
    </w:p>
    <w:p>
      <w:pPr>
        <w:pStyle w:val="Normal"/>
        <w:suppressAutoHyphens w:val="false"/>
        <w:spacing w:lineRule="auto" w:line="240"/>
        <w:jc w:val="both"/>
        <w:rPr>
          <w:rFonts w:ascii="Verdana" w:hAnsi="Verdana" w:cs="Arial"/>
          <w:sz w:val="22"/>
          <w:szCs w:val="22"/>
        </w:rPr>
      </w:pPr>
      <w:r>
        <w:rPr>
          <w:rFonts w:cs="Arial" w:ascii="Verdana" w:hAnsi="Verdana"/>
          <w:sz w:val="22"/>
          <w:szCs w:val="22"/>
        </w:rPr>
      </w:r>
    </w:p>
    <w:p>
      <w:pPr>
        <w:pStyle w:val="Normal"/>
        <w:spacing w:lineRule="auto" w:line="240"/>
        <w:jc w:val="both"/>
        <w:rPr/>
      </w:pPr>
      <w:r>
        <w:rPr>
          <w:rFonts w:cs="Arial" w:ascii="Verdana" w:hAnsi="Verdana"/>
          <w:b/>
          <w:sz w:val="22"/>
          <w:szCs w:val="22"/>
        </w:rPr>
        <w:t>15. PROVIDÊNCIAS A SEREM ADOTADAS</w:t>
      </w:r>
    </w:p>
    <w:p>
      <w:pPr>
        <w:pStyle w:val="Normal"/>
        <w:spacing w:lineRule="auto" w:line="240"/>
        <w:jc w:val="both"/>
        <w:rPr/>
      </w:pPr>
      <w:r>
        <w:rPr>
          <w:rFonts w:cs="Arial" w:ascii="Verdana" w:hAnsi="Verdana"/>
          <w:b w:val="false"/>
          <w:bCs w:val="false"/>
          <w:sz w:val="22"/>
          <w:szCs w:val="22"/>
        </w:rPr>
        <w:t>15.1 A Secretaria Municipal de Educação deverá acompanhar, fiscalizar, comprovar e relatar, por escrito, as eventuais irregularidades na execução dos serviços. Deverão ser nomeados quantidade de fiscais suficientes para um efetivo acompanhamento da execução do contrato.</w:t>
      </w:r>
    </w:p>
    <w:p>
      <w:pPr>
        <w:pStyle w:val="Normal"/>
        <w:spacing w:lineRule="auto" w:line="240"/>
        <w:jc w:val="both"/>
        <w:rPr/>
      </w:pPr>
      <w:r>
        <w:rPr>
          <w:rFonts w:cs="Arial" w:ascii="Verdana" w:hAnsi="Verdana"/>
          <w:b w:val="false"/>
          <w:bCs w:val="false"/>
          <w:sz w:val="22"/>
          <w:szCs w:val="22"/>
        </w:rPr>
        <w:t xml:space="preserve">15.2 </w:t>
      </w:r>
      <w:r>
        <w:rPr>
          <w:rFonts w:cs="Arial" w:ascii="Verdana" w:hAnsi="Verdana"/>
          <w:sz w:val="22"/>
          <w:szCs w:val="22"/>
        </w:rPr>
        <w:t xml:space="preserve">No caso de interrupção das entregas, por parte da contratada, o gestor do contrato tomará as providências cabíveis, de acordo com cláusulas do edital e contrato. </w:t>
      </w:r>
    </w:p>
    <w:p>
      <w:pPr>
        <w:pStyle w:val="Normal"/>
        <w:spacing w:lineRule="auto" w:line="240"/>
        <w:jc w:val="both"/>
        <w:rPr>
          <w:rFonts w:ascii="Verdana" w:hAnsi="Verdana" w:cs="Arial"/>
          <w:b/>
          <w:sz w:val="22"/>
          <w:szCs w:val="22"/>
        </w:rPr>
      </w:pPr>
      <w:r>
        <w:rPr>
          <w:rFonts w:cs="Arial" w:ascii="Verdana" w:hAnsi="Verdana"/>
          <w:b/>
          <w:sz w:val="22"/>
          <w:szCs w:val="22"/>
        </w:rPr>
      </w:r>
    </w:p>
    <w:p>
      <w:pPr>
        <w:pStyle w:val="Normal"/>
        <w:suppressAutoHyphens w:val="false"/>
        <w:spacing w:lineRule="auto" w:line="240"/>
        <w:jc w:val="both"/>
        <w:rPr/>
      </w:pPr>
      <w:r>
        <w:rPr>
          <w:rFonts w:cs="Arial" w:ascii="Verdana" w:hAnsi="Verdana"/>
          <w:b/>
          <w:sz w:val="22"/>
          <w:szCs w:val="22"/>
        </w:rPr>
        <w:t>16. POSSÍVEIS IMPACTOS AMBIENTAIS</w:t>
      </w:r>
    </w:p>
    <w:p>
      <w:pPr>
        <w:pStyle w:val="Normal"/>
        <w:spacing w:lineRule="auto" w:line="240"/>
        <w:jc w:val="both"/>
        <w:rPr/>
      </w:pPr>
      <w:r>
        <w:rPr>
          <w:rFonts w:ascii="Verdana" w:hAnsi="Verdana"/>
          <w:sz w:val="22"/>
          <w:szCs w:val="22"/>
        </w:rPr>
        <w:t>16.1 Não se verifica impactos ambientais da contratação.</w:t>
      </w:r>
    </w:p>
    <w:p>
      <w:pPr>
        <w:pStyle w:val="Normal"/>
        <w:spacing w:lineRule="auto" w:line="240"/>
        <w:jc w:val="both"/>
        <w:rPr>
          <w:rFonts w:ascii="Verdana" w:hAnsi="Verdana" w:cs="Arial"/>
          <w:sz w:val="22"/>
          <w:szCs w:val="22"/>
        </w:rPr>
      </w:pPr>
      <w:r>
        <w:rPr>
          <w:rFonts w:cs="Arial" w:ascii="Verdana" w:hAnsi="Verdana"/>
          <w:sz w:val="22"/>
          <w:szCs w:val="22"/>
        </w:rPr>
      </w:r>
    </w:p>
    <w:p>
      <w:pPr>
        <w:pStyle w:val="Normal"/>
        <w:spacing w:lineRule="auto" w:line="240"/>
        <w:jc w:val="both"/>
        <w:rPr/>
      </w:pPr>
      <w:r>
        <w:rPr>
          <w:rFonts w:cs="Arial" w:ascii="Verdana" w:hAnsi="Verdana"/>
          <w:b/>
          <w:sz w:val="22"/>
          <w:szCs w:val="22"/>
        </w:rPr>
        <w:t>17. DECLARAÇÕES DE VIABILIDADE</w:t>
      </w:r>
    </w:p>
    <w:p>
      <w:pPr>
        <w:pStyle w:val="Normal"/>
        <w:spacing w:lineRule="auto" w:line="240"/>
        <w:jc w:val="both"/>
        <w:rPr/>
      </w:pPr>
      <w:r>
        <w:rPr>
          <w:rFonts w:cs="Arial" w:ascii="Verdana" w:hAnsi="Verdana"/>
          <w:b w:val="false"/>
          <w:bCs w:val="false"/>
          <w:sz w:val="22"/>
          <w:szCs w:val="22"/>
        </w:rPr>
        <w:t>17.1. Ne</w:t>
      </w:r>
      <w:r>
        <w:rPr>
          <w:rFonts w:cs="Arial" w:ascii="Verdana" w:hAnsi="Verdana"/>
          <w:sz w:val="22"/>
          <w:szCs w:val="22"/>
        </w:rPr>
        <w:t>ste sentido, a equipe de planejamento deste ETP e de acordo com a autoridade deste requerente, declara viável esta contratação, com base nos elementos apresentados neste documento.</w:t>
      </w:r>
    </w:p>
    <w:p>
      <w:pPr>
        <w:pStyle w:val="Normal"/>
        <w:spacing w:lineRule="auto" w:line="240"/>
        <w:jc w:val="both"/>
        <w:rPr>
          <w:rFonts w:ascii="Verdana" w:hAnsi="Verdana" w:cs="Arial"/>
          <w:sz w:val="22"/>
          <w:szCs w:val="22"/>
        </w:rPr>
      </w:pPr>
      <w:r>
        <w:rPr>
          <w:rFonts w:cs="Arial" w:ascii="Verdana" w:hAnsi="Verdana"/>
          <w:sz w:val="22"/>
          <w:szCs w:val="22"/>
        </w:rPr>
      </w:r>
    </w:p>
    <w:p>
      <w:pPr>
        <w:pStyle w:val="Normal"/>
        <w:spacing w:lineRule="auto" w:line="240"/>
        <w:jc w:val="both"/>
        <w:rPr/>
      </w:pPr>
      <w:r>
        <w:rPr>
          <w:rFonts w:cs="Arial" w:ascii="Verdana" w:hAnsi="Verdana"/>
          <w:b/>
          <w:sz w:val="22"/>
          <w:szCs w:val="22"/>
        </w:rPr>
        <w:t>18. JUSTIFICATIVAS DA VIABILIDADE</w:t>
      </w:r>
    </w:p>
    <w:p>
      <w:pPr>
        <w:pStyle w:val="Normal"/>
        <w:spacing w:lineRule="auto" w:line="240"/>
        <w:ind w:left="119" w:right="143" w:hanging="0"/>
        <w:jc w:val="both"/>
        <w:rPr/>
      </w:pPr>
      <w:r>
        <w:rPr>
          <w:rFonts w:cs="Arial" w:ascii="Verdana" w:hAnsi="Verdana"/>
          <w:b w:val="false"/>
          <w:bCs w:val="false"/>
          <w:sz w:val="22"/>
          <w:szCs w:val="22"/>
          <w:u w:val="none"/>
          <w:lang w:eastAsia="pt-BR"/>
        </w:rPr>
        <w:t xml:space="preserve">18.1. Considerando que os serviços se constituem de aquisição de gêneros alimentícios por meio de </w:t>
      </w:r>
      <w:r>
        <w:rPr>
          <w:rFonts w:cs="Arial" w:ascii="Verdana" w:hAnsi="Verdana"/>
          <w:b/>
          <w:bCs/>
          <w:sz w:val="22"/>
          <w:szCs w:val="22"/>
          <w:u w:val="none"/>
          <w:lang w:eastAsia="pt-BR"/>
        </w:rPr>
        <w:t>pregão eletrônico</w:t>
      </w:r>
      <w:r>
        <w:rPr>
          <w:rFonts w:cs="Arial" w:ascii="Verdana" w:hAnsi="Verdana"/>
          <w:b w:val="false"/>
          <w:bCs w:val="false"/>
          <w:sz w:val="22"/>
          <w:szCs w:val="22"/>
          <w:u w:val="none"/>
          <w:lang w:eastAsia="pt-BR"/>
        </w:rPr>
        <w:t>, para atender as necessidades das Escolas da Rede Pública Municipal de São Gabriel da Palha, através do Programa Nacional de Alimentação Escolar.</w:t>
      </w:r>
    </w:p>
    <w:p>
      <w:pPr>
        <w:pStyle w:val="Default"/>
        <w:tabs>
          <w:tab w:val="clear" w:pos="708"/>
          <w:tab w:val="left" w:pos="563" w:leader="none"/>
        </w:tabs>
        <w:spacing w:lineRule="auto" w:line="240"/>
        <w:ind w:left="-22" w:right="0" w:hanging="0"/>
        <w:jc w:val="both"/>
        <w:rPr>
          <w:rFonts w:ascii="Verdana" w:hAnsi="Verdana" w:cs="Arial"/>
          <w:b/>
          <w:sz w:val="22"/>
          <w:szCs w:val="22"/>
          <w:u w:val="none"/>
        </w:rPr>
      </w:pPr>
      <w:r>
        <w:rPr>
          <w:rFonts w:cs="Arial" w:ascii="Verdana" w:hAnsi="Verdana"/>
          <w:b/>
          <w:sz w:val="22"/>
          <w:szCs w:val="22"/>
          <w:u w:val="none"/>
        </w:rPr>
      </w:r>
    </w:p>
    <w:p>
      <w:pPr>
        <w:pStyle w:val="Normal"/>
        <w:spacing w:lineRule="auto" w:line="240"/>
        <w:ind w:left="0" w:right="0" w:hanging="0"/>
        <w:jc w:val="both"/>
        <w:rPr/>
      </w:pPr>
      <w:r>
        <w:rPr>
          <w:rFonts w:ascii="Verdana" w:hAnsi="Verdana"/>
          <w:b/>
          <w:bCs/>
          <w:sz w:val="22"/>
          <w:szCs w:val="22"/>
          <w:u w:val="none"/>
        </w:rPr>
        <w:t xml:space="preserve">19. ADEQUAÇÃO ORÇAMENTÁRIA </w:t>
      </w:r>
    </w:p>
    <w:p>
      <w:pPr>
        <w:pStyle w:val="Normal"/>
        <w:spacing w:lineRule="auto" w:line="240"/>
        <w:ind w:left="0" w:right="0" w:hanging="0"/>
        <w:jc w:val="both"/>
        <w:rPr/>
      </w:pPr>
      <w:r>
        <w:rPr>
          <w:rFonts w:ascii="Verdana" w:hAnsi="Verdana"/>
          <w:sz w:val="22"/>
          <w:szCs w:val="22"/>
          <w:u w:val="none"/>
        </w:rPr>
        <w:t>19.1 As despesas decorrentes da presente contratação correrão à conta de recursos específicos consignados no Lei Orçamentária Anual, bem como requisição do sistema presente nos autos, sendo a contratação será atendida pela seguinte dotação:</w:t>
      </w:r>
    </w:p>
    <w:p>
      <w:pPr>
        <w:pStyle w:val="Normal"/>
        <w:spacing w:lineRule="auto" w:line="240"/>
        <w:ind w:left="0" w:right="0" w:hanging="0"/>
        <w:jc w:val="both"/>
        <w:rPr>
          <w:rFonts w:ascii="Verdana" w:hAnsi="Verdana"/>
          <w:sz w:val="22"/>
          <w:szCs w:val="22"/>
          <w:u w:val="none"/>
        </w:rPr>
      </w:pPr>
      <w:r>
        <w:rPr>
          <w:rFonts w:ascii="Verdana" w:hAnsi="Verdana"/>
          <w:sz w:val="22"/>
          <w:szCs w:val="22"/>
          <w:u w:val="none"/>
        </w:rPr>
      </w:r>
    </w:p>
    <w:p>
      <w:pPr>
        <w:pStyle w:val="Normal"/>
        <w:numPr>
          <w:ilvl w:val="0"/>
          <w:numId w:val="1"/>
        </w:numPr>
        <w:spacing w:lineRule="auto" w:line="240"/>
        <w:jc w:val="both"/>
        <w:rPr/>
      </w:pPr>
      <w:r>
        <w:rPr>
          <w:rFonts w:ascii="Verdana" w:hAnsi="Verdana"/>
          <w:b w:val="false"/>
          <w:bCs w:val="false"/>
          <w:i w:val="false"/>
          <w:iCs w:val="false"/>
          <w:strike w:val="false"/>
          <w:dstrike w:val="false"/>
          <w:outline w:val="false"/>
          <w:shadow w:val="false"/>
          <w:color w:val="000000"/>
          <w:sz w:val="22"/>
          <w:szCs w:val="22"/>
          <w:u w:val="none"/>
          <w:shd w:fill="auto" w:val="clear"/>
        </w:rPr>
        <w:t>FICHA - FONTE 00598</w:t>
      </w:r>
      <w:r>
        <w:rPr>
          <w:rFonts w:eastAsia="Times New Roman" w:cs="Times New Roman" w:ascii="Verdana" w:hAnsi="Verdana"/>
          <w:b w:val="false"/>
          <w:bCs w:val="false"/>
          <w:i w:val="false"/>
          <w:iCs w:val="false"/>
          <w:strike w:val="false"/>
          <w:dstrike w:val="false"/>
          <w:outline w:val="false"/>
          <w:shadow w:val="false"/>
          <w:color w:val="000000"/>
          <w:kern w:val="0"/>
          <w:sz w:val="22"/>
          <w:szCs w:val="22"/>
          <w:u w:val="none"/>
          <w:shd w:fill="auto" w:val="clear"/>
          <w:lang w:val="pt-BR" w:eastAsia="pt-BR" w:bidi="ar-SA"/>
        </w:rPr>
        <w:t>-</w:t>
      </w:r>
      <w:r>
        <w:rPr>
          <w:rFonts w:ascii="Verdana" w:hAnsi="Verdana"/>
          <w:b w:val="false"/>
          <w:bCs w:val="false"/>
          <w:i w:val="false"/>
          <w:iCs w:val="false"/>
          <w:strike w:val="false"/>
          <w:dstrike w:val="false"/>
          <w:outline w:val="false"/>
          <w:shadow w:val="false"/>
          <w:color w:val="000000"/>
          <w:sz w:val="22"/>
          <w:szCs w:val="22"/>
          <w:u w:val="none"/>
          <w:shd w:fill="auto" w:val="clear"/>
        </w:rPr>
        <w:t>15000025000000 o valor de</w:t>
      </w:r>
      <w:r>
        <w:rPr>
          <w:rFonts w:eastAsia="Times New Roman" w:cs="Arial" w:ascii="Verdana" w:hAnsi="Verdana"/>
          <w:b w:val="false"/>
          <w:bCs w:val="false"/>
          <w:i w:val="false"/>
          <w:iCs w:val="false"/>
          <w:strike w:val="false"/>
          <w:dstrike w:val="false"/>
          <w:outline w:val="false"/>
          <w:shadow w:val="false"/>
          <w:color w:val="000000"/>
          <w:kern w:val="0"/>
          <w:sz w:val="22"/>
          <w:szCs w:val="22"/>
          <w:u w:val="none"/>
          <w:shd w:fill="auto" w:val="clear"/>
          <w:lang w:val="pt-BR" w:eastAsia="en-US" w:bidi="ar-SA"/>
        </w:rPr>
        <w:t xml:space="preserve">  R$ 25.208,88 (vinte e cinco mil duzentos e oito reais e oitenta e oito centavos)</w:t>
      </w:r>
    </w:p>
    <w:p>
      <w:pPr>
        <w:pStyle w:val="Normal"/>
        <w:numPr>
          <w:ilvl w:val="0"/>
          <w:numId w:val="0"/>
        </w:numPr>
        <w:spacing w:lineRule="auto" w:line="240"/>
        <w:ind w:left="720" w:hanging="0"/>
        <w:jc w:val="both"/>
        <w:rPr>
          <w:rFonts w:eastAsia="Times New Roman" w:cs="Arial"/>
          <w:b w:val="false"/>
          <w:bCs w:val="false"/>
          <w:i w:val="false"/>
          <w:i w:val="false"/>
          <w:iCs w:val="false"/>
          <w:strike w:val="false"/>
          <w:dstrike w:val="false"/>
          <w:outline w:val="false"/>
          <w:shadow w:val="false"/>
          <w:color w:val="000000"/>
          <w:kern w:val="0"/>
          <w:u w:val="none"/>
          <w:shd w:fill="auto" w:val="clear"/>
          <w:lang w:val="pt-BR" w:eastAsia="en-US" w:bidi="ar-SA"/>
        </w:rPr>
      </w:pPr>
      <w:r>
        <w:rPr>
          <w:rFonts w:eastAsia="Times New Roman" w:cs="Arial"/>
          <w:b w:val="false"/>
          <w:bCs w:val="false"/>
          <w:i w:val="false"/>
          <w:iCs w:val="false"/>
          <w:strike w:val="false"/>
          <w:dstrike w:val="false"/>
          <w:outline w:val="false"/>
          <w:shadow w:val="false"/>
          <w:color w:val="000000"/>
          <w:kern w:val="0"/>
          <w:u w:val="none"/>
          <w:shd w:fill="auto" w:val="clear"/>
          <w:lang w:val="pt-BR" w:eastAsia="en-US" w:bidi="ar-SA"/>
        </w:rPr>
      </w:r>
    </w:p>
    <w:p>
      <w:pPr>
        <w:pStyle w:val="Normal"/>
        <w:spacing w:lineRule="auto" w:line="240"/>
        <w:ind w:left="720" w:hanging="0"/>
        <w:jc w:val="both"/>
        <w:rPr>
          <w:rFonts w:ascii="Verdana" w:hAnsi="Verdana"/>
          <w:sz w:val="22"/>
          <w:szCs w:val="22"/>
          <w:shd w:fill="auto" w:val="clear"/>
        </w:rPr>
      </w:pPr>
      <w:r>
        <w:rPr>
          <w:rFonts w:ascii="Verdana" w:hAnsi="Verdana"/>
          <w:sz w:val="22"/>
          <w:szCs w:val="22"/>
          <w:shd w:fill="auto" w:val="clear"/>
        </w:rPr>
      </w:r>
    </w:p>
    <w:p>
      <w:pPr>
        <w:pStyle w:val="Normal"/>
        <w:spacing w:lineRule="auto" w:line="240"/>
        <w:jc w:val="both"/>
        <w:rPr/>
      </w:pPr>
      <w:r>
        <w:rPr>
          <w:rFonts w:ascii="Verdana" w:hAnsi="Verdana"/>
          <w:b/>
          <w:bCs/>
          <w:sz w:val="22"/>
          <w:szCs w:val="22"/>
          <w:u w:val="none"/>
        </w:rPr>
        <w:t>20.</w:t>
      </w:r>
      <w:r>
        <w:rPr>
          <w:rFonts w:ascii="Verdana" w:hAnsi="Verdana"/>
          <w:sz w:val="22"/>
          <w:szCs w:val="22"/>
          <w:u w:val="none"/>
        </w:rPr>
        <w:t xml:space="preserve"> </w:t>
      </w:r>
      <w:r>
        <w:rPr>
          <w:rFonts w:cs="Arial" w:ascii="Verdana" w:hAnsi="Verdana"/>
          <w:b/>
          <w:bCs/>
          <w:color w:val="000000"/>
          <w:sz w:val="22"/>
          <w:szCs w:val="22"/>
          <w:u w:val="none"/>
        </w:rPr>
        <w:t>DOS RESPONSÁVEIS PELA ELABORAÇÃO DO TERMO DE REFERÊNCIA</w:t>
      </w:r>
    </w:p>
    <w:p>
      <w:pPr>
        <w:pStyle w:val="Normal"/>
        <w:spacing w:lineRule="auto" w:line="240"/>
        <w:ind w:left="0" w:right="0" w:hanging="0"/>
        <w:jc w:val="both"/>
        <w:rPr/>
      </w:pPr>
      <w:r>
        <w:rPr>
          <w:rFonts w:eastAsia="Times New Roman" w:cs="Arial" w:ascii="Verdana" w:hAnsi="Verdana"/>
          <w:b w:val="false"/>
          <w:bCs w:val="false"/>
          <w:color w:val="000000"/>
          <w:sz w:val="22"/>
          <w:szCs w:val="22"/>
          <w:u w:val="none"/>
        </w:rPr>
        <w:t>20.1. A compilação de parte das informações mencionados na elaboração deste Termo de Referência foram estruturadas através do ETP – Estudo Técnico Preliminar elaborado pela secretaria requisitante.</w:t>
      </w:r>
    </w:p>
    <w:p>
      <w:pPr>
        <w:pStyle w:val="Normal"/>
        <w:spacing w:lineRule="auto" w:line="240" w:before="0" w:after="360"/>
        <w:ind w:left="360" w:right="0" w:hanging="0"/>
        <w:jc w:val="both"/>
        <w:rPr>
          <w:rFonts w:ascii="Verdana" w:hAnsi="Verdana" w:cs="Arial"/>
          <w:b/>
          <w:sz w:val="22"/>
          <w:szCs w:val="22"/>
          <w:u w:val="single"/>
        </w:rPr>
      </w:pPr>
      <w:r>
        <w:rPr>
          <w:rFonts w:cs="Arial" w:ascii="Verdana" w:hAnsi="Verdana"/>
          <w:b/>
          <w:sz w:val="22"/>
          <w:szCs w:val="22"/>
          <w:u w:val="single"/>
        </w:rPr>
      </w:r>
    </w:p>
    <w:p>
      <w:pPr>
        <w:pStyle w:val="Normal"/>
        <w:spacing w:lineRule="auto" w:line="240" w:before="0" w:after="360"/>
        <w:ind w:left="360" w:right="0" w:hanging="0"/>
        <w:jc w:val="both"/>
        <w:rPr>
          <w:rFonts w:ascii="Verdana" w:hAnsi="Verdana" w:cs="Arial"/>
          <w:b/>
          <w:sz w:val="22"/>
          <w:szCs w:val="22"/>
          <w:u w:val="single"/>
        </w:rPr>
      </w:pPr>
      <w:r>
        <w:rPr>
          <w:rFonts w:cs="Arial" w:ascii="Verdana" w:hAnsi="Verdana"/>
          <w:b/>
          <w:sz w:val="22"/>
          <w:szCs w:val="22"/>
          <w:u w:val="single"/>
        </w:rPr>
      </w:r>
    </w:p>
    <w:p>
      <w:pPr>
        <w:pStyle w:val="Normal"/>
        <w:spacing w:lineRule="auto" w:line="240" w:before="0" w:after="360"/>
        <w:ind w:left="360" w:right="0" w:hanging="0"/>
        <w:jc w:val="both"/>
        <w:rPr>
          <w:rFonts w:ascii="Verdana" w:hAnsi="Verdana" w:cs="Arial"/>
          <w:b/>
          <w:sz w:val="22"/>
          <w:szCs w:val="22"/>
          <w:u w:val="single"/>
        </w:rPr>
      </w:pPr>
      <w:r>
        <w:rPr>
          <w:rFonts w:cs="Arial" w:ascii="Verdana" w:hAnsi="Verdana"/>
          <w:b/>
          <w:sz w:val="22"/>
          <w:szCs w:val="22"/>
          <w:u w:val="single"/>
        </w:rPr>
      </w:r>
    </w:p>
    <w:p>
      <w:pPr>
        <w:pStyle w:val="Normal"/>
        <w:spacing w:lineRule="auto" w:line="240"/>
        <w:jc w:val="right"/>
        <w:rPr/>
      </w:pPr>
      <w:r>
        <w:rPr>
          <w:rFonts w:ascii="Verdana" w:hAnsi="Verdana"/>
          <w:sz w:val="22"/>
          <w:szCs w:val="22"/>
        </w:rPr>
        <w:t>São Gabriel da Palha, 02 de maio de 2025</w:t>
      </w:r>
    </w:p>
    <w:p>
      <w:pPr>
        <w:pStyle w:val="Normal"/>
        <w:spacing w:lineRule="auto" w:line="240"/>
        <w:jc w:val="right"/>
        <w:rPr>
          <w:rFonts w:ascii="Verdana" w:hAnsi="Verdana" w:cs="Arial"/>
          <w:b/>
          <w:sz w:val="22"/>
          <w:szCs w:val="22"/>
          <w:u w:val="single"/>
        </w:rPr>
      </w:pPr>
      <w:r>
        <w:rPr>
          <w:rFonts w:cs="Arial" w:ascii="Verdana" w:hAnsi="Verdana"/>
          <w:b/>
          <w:sz w:val="22"/>
          <w:szCs w:val="22"/>
          <w:u w:val="single"/>
        </w:rPr>
      </w:r>
    </w:p>
    <w:p>
      <w:pPr>
        <w:pStyle w:val="Normal"/>
        <w:spacing w:lineRule="auto" w:line="240"/>
        <w:jc w:val="both"/>
        <w:rPr/>
      </w:pPr>
      <w:r>
        <w:rPr>
          <w:rFonts w:cs="Arial" w:ascii="Verdana" w:hAnsi="Verdana"/>
          <w:b/>
          <w:bCs/>
          <w:sz w:val="22"/>
          <w:szCs w:val="22"/>
        </w:rPr>
        <w:t>Elaborado por:</w:t>
      </w:r>
    </w:p>
    <w:p>
      <w:pPr>
        <w:pStyle w:val="Normal"/>
        <w:spacing w:lineRule="auto" w:line="240"/>
        <w:jc w:val="both"/>
        <w:rPr>
          <w:rFonts w:ascii="Verdana" w:hAnsi="Verdana" w:cs="Arial"/>
          <w:b/>
          <w:sz w:val="22"/>
          <w:szCs w:val="22"/>
          <w:u w:val="single"/>
        </w:rPr>
      </w:pPr>
      <w:r>
        <w:rPr>
          <w:rFonts w:cs="Arial" w:ascii="Verdana" w:hAnsi="Verdana"/>
          <w:b/>
          <w:sz w:val="22"/>
          <w:szCs w:val="22"/>
          <w:u w:val="single"/>
        </w:rPr>
      </w:r>
    </w:p>
    <w:p>
      <w:pPr>
        <w:pStyle w:val="Normal"/>
        <w:spacing w:lineRule="auto" w:line="240"/>
        <w:jc w:val="both"/>
        <w:rPr>
          <w:rFonts w:ascii="Verdana" w:hAnsi="Verdana" w:cs="Arial"/>
          <w:b/>
          <w:sz w:val="22"/>
          <w:szCs w:val="22"/>
          <w:u w:val="single"/>
        </w:rPr>
      </w:pPr>
      <w:r>
        <w:rPr>
          <w:rFonts w:cs="Arial" w:ascii="Verdana" w:hAnsi="Verdana"/>
          <w:b/>
          <w:sz w:val="22"/>
          <w:szCs w:val="22"/>
          <w:u w:val="single"/>
        </w:rPr>
      </w:r>
    </w:p>
    <w:p>
      <w:pPr>
        <w:pStyle w:val="Normal"/>
        <w:spacing w:lineRule="auto" w:line="240"/>
        <w:jc w:val="both"/>
        <w:rPr>
          <w:rFonts w:ascii="Verdana" w:hAnsi="Verdana" w:cs="Arial"/>
          <w:b/>
          <w:sz w:val="22"/>
          <w:szCs w:val="22"/>
          <w:u w:val="single"/>
        </w:rPr>
      </w:pPr>
      <w:r>
        <w:rPr>
          <w:rFonts w:cs="Arial" w:ascii="Verdana" w:hAnsi="Verdana"/>
          <w:b/>
          <w:sz w:val="22"/>
          <w:szCs w:val="22"/>
          <w:u w:val="single"/>
        </w:rPr>
      </w:r>
    </w:p>
    <w:p>
      <w:pPr>
        <w:pStyle w:val="Normal"/>
        <w:spacing w:lineRule="auto" w:line="240"/>
        <w:jc w:val="both"/>
        <w:rPr>
          <w:rFonts w:ascii="Verdana" w:hAnsi="Verdana" w:cs="Arial"/>
          <w:b/>
          <w:sz w:val="22"/>
          <w:szCs w:val="22"/>
          <w:u w:val="single"/>
        </w:rPr>
      </w:pPr>
      <w:r>
        <w:rPr>
          <w:rFonts w:cs="Arial" w:ascii="Verdana" w:hAnsi="Verdana"/>
          <w:b/>
          <w:sz w:val="22"/>
          <w:szCs w:val="22"/>
          <w:u w:val="single"/>
        </w:rPr>
      </w:r>
    </w:p>
    <w:p>
      <w:pPr>
        <w:pStyle w:val="Normal"/>
        <w:spacing w:lineRule="auto" w:line="240"/>
        <w:jc w:val="both"/>
        <w:rPr/>
      </w:pPr>
      <w:r>
        <w:rPr>
          <w:rFonts w:cs="Arial" w:ascii="Verdana" w:hAnsi="Verdana"/>
          <w:b w:val="false"/>
          <w:bCs w:val="false"/>
          <w:sz w:val="22"/>
          <w:szCs w:val="22"/>
        </w:rPr>
        <w:t>RUTH BARBARA DA SILWA NASCIMENTO</w:t>
      </w:r>
    </w:p>
    <w:p>
      <w:pPr>
        <w:pStyle w:val="Normal"/>
        <w:spacing w:lineRule="auto" w:line="240"/>
        <w:jc w:val="both"/>
        <w:rPr/>
      </w:pPr>
      <w:r>
        <w:rPr>
          <w:rFonts w:cs="Arial" w:ascii="Verdana" w:hAnsi="Verdana"/>
          <w:b w:val="false"/>
          <w:bCs w:val="false"/>
          <w:sz w:val="22"/>
          <w:szCs w:val="22"/>
        </w:rPr>
        <w:t>Agente de Serviços Técnicos - Decreto n° 4.816/2025.</w:t>
      </w:r>
    </w:p>
    <w:p>
      <w:pPr>
        <w:pStyle w:val="Normal"/>
        <w:spacing w:lineRule="auto" w:line="240"/>
        <w:jc w:val="both"/>
        <w:rPr/>
      </w:pPr>
      <w:bookmarkStart w:id="13" w:name="art122%252525252525252525252525252525252"/>
      <w:bookmarkStart w:id="14" w:name="_GoBack11_Copia_1"/>
      <w:bookmarkStart w:id="15" w:name="_GoBack2_Copia_1"/>
      <w:bookmarkEnd w:id="0"/>
      <w:bookmarkEnd w:id="5"/>
      <w:bookmarkEnd w:id="13"/>
      <w:bookmarkEnd w:id="14"/>
      <w:bookmarkEnd w:id="15"/>
      <w:r>
        <w:rPr>
          <w:rFonts w:cs="Arial" w:ascii="Verdana" w:hAnsi="Verdana"/>
          <w:b w:val="false"/>
          <w:bCs w:val="false"/>
        </w:rPr>
        <w:t>Mat. nº 002983</w:t>
      </w:r>
      <w:bookmarkStart w:id="16" w:name="art122%252525252525252525252525252525251"/>
      <w:bookmarkStart w:id="17" w:name="art122%252525252525252525252525252525253"/>
      <w:bookmarkStart w:id="18" w:name="art122%252525252525252525252525252525254"/>
      <w:bookmarkStart w:id="19" w:name="art122%252525252525252525252525252525255"/>
      <w:bookmarkStart w:id="20" w:name="art122%252525252525252525252525252525256"/>
      <w:bookmarkStart w:id="21" w:name="_GoBack311211_Copia_1"/>
      <w:bookmarkStart w:id="22" w:name="_GoBack31121_Copia_1"/>
      <w:bookmarkEnd w:id="16"/>
      <w:bookmarkEnd w:id="17"/>
      <w:bookmarkEnd w:id="18"/>
      <w:bookmarkEnd w:id="19"/>
      <w:bookmarkEnd w:id="20"/>
      <w:bookmarkEnd w:id="21"/>
      <w:bookmarkEnd w:id="22"/>
    </w:p>
    <w:sectPr>
      <w:headerReference w:type="default" r:id="rId10"/>
      <w:footerReference w:type="default" r:id="rId11"/>
      <w:type w:val="nextPage"/>
      <w:pgSz w:w="11906" w:h="16838"/>
      <w:pgMar w:left="1517" w:right="905" w:gutter="0" w:header="227" w:top="851" w:footer="567" w:bottom="851"/>
      <w:pgNumType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Arial">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Ecofont_Spranq_eco_Sans">
    <w:charset w:val="00"/>
    <w:family w:val="roman"/>
    <w:pitch w:val="variable"/>
  </w:font>
  <w:font w:name="Verdana">
    <w:charset w:val="00"/>
    <w:family w:val="roman"/>
    <w:pitch w:val="variable"/>
  </w:font>
  <w:font w:name="Arial Narrow">
    <w:charset w:val="00"/>
    <w:family w:val="roman"/>
    <w:pitch w:val="variable"/>
  </w:font>
  <w:font w:name="Tahoma">
    <w:charset w:val="00"/>
    <w:family w:val="roman"/>
    <w:pitch w:val="variable"/>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pBdr>
        <w:top w:val="single" w:sz="4" w:space="1" w:color="000000"/>
      </w:pBdr>
      <w:tabs>
        <w:tab w:val="left" w:pos="540" w:leader="none"/>
        <w:tab w:val="center" w:pos="4419" w:leader="none"/>
        <w:tab w:val="center" w:pos="4536" w:leader="none"/>
        <w:tab w:val="right" w:pos="8838" w:leader="none"/>
      </w:tabs>
      <w:jc w:val="center"/>
      <w:rP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Rodap"/>
      <w:pBdr>
        <w:top w:val="single" w:sz="4" w:space="1" w:color="000000"/>
      </w:pBdr>
      <w:jc w:val="center"/>
      <w:rPr>
        <w:rFonts w:ascii="Tahoma" w:hAnsi="Tahoma" w:cs="Tahoma"/>
        <w:sz w:val="16"/>
        <w:szCs w:val="16"/>
      </w:rPr>
    </w:pPr>
    <w:r>
      <w:rPr>
        <w:rStyle w:val="Pagenumber"/>
        <w:rFonts w:cs="Tahoma" w:ascii="Tahoma" w:hAnsi="Tahoma"/>
        <w:sz w:val="16"/>
        <w:szCs w:val="16"/>
      </w:rPr>
      <w:t>Fone/Fax (027) 3727-1366 | E-mail: compras@saogabriel.es.gov.br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12">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br/>
    </w:r>
    <w:r>
      <w:rPr>
        <w:rFonts w:ascii="Arial Narrow" w:hAnsi="Arial Narrow"/>
        <w:b/>
        <w:sz w:val="20"/>
      </w:rPr>
      <w:t>Departamento De Compras e Contratos</w:t>
    </w:r>
  </w:p>
  <w:p>
    <w:pPr>
      <w:pStyle w:val="Normal"/>
      <w:jc w:val="center"/>
      <w:rPr>
        <w:rFonts w:ascii="Arial Narrow" w:hAnsi="Arial Narrow"/>
        <w:b/>
        <w:sz w:val="20"/>
      </w:rPr>
    </w:pPr>
    <w:r>
      <w:rPr>
        <w:rFonts w:ascii="Arial Narrow" w:hAnsi="Arial Narrow"/>
        <w:b/>
        <w:sz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85"/>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ahoma"/>
        <w:sz w:val="22"/>
        <w:szCs w:val="22"/>
        <w:lang w:val="pt-BR" w:eastAsia="en-US" w:bidi="ar-SA"/>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Times New Roman" w:hAnsi="Times New Roman" w:eastAsia="Times New Roman" w:cs="Times New Roman"/>
      <w:color w:val="auto"/>
      <w:kern w:val="0"/>
      <w:sz w:val="24"/>
      <w:szCs w:val="20"/>
      <w:lang w:val="pt-BR" w:eastAsia="pt-BR" w:bidi="ar-SA"/>
    </w:rPr>
  </w:style>
  <w:style w:type="paragraph" w:styleId="Ttulo1">
    <w:name w:val="Heading 1"/>
    <w:basedOn w:val="Normal"/>
    <w:next w:val="Normal"/>
    <w:link w:val="Ttulo1Char"/>
    <w:qFormat/>
    <w:pPr>
      <w:keepNext w:val="true"/>
      <w:keepLines/>
      <w:spacing w:before="480" w:after="0"/>
      <w:outlineLvl w:val="0"/>
    </w:pPr>
    <w:rPr>
      <w:rFonts w:ascii="Cambria" w:hAnsi="Cambria" w:eastAsia="Calibri" w:cs="Tahoma"/>
      <w:b/>
      <w:bCs/>
      <w:color w:val="365F91" w:themeColor="accent1" w:themeShade="bf"/>
      <w:sz w:val="28"/>
      <w:szCs w:val="28"/>
    </w:rPr>
  </w:style>
  <w:style w:type="character" w:styleId="DefaultParagraphFont">
    <w:name w:val="Default Paragraph Font"/>
    <w:qFormat/>
    <w:rPr/>
  </w:style>
  <w:style w:type="character" w:styleId="Pagenumber">
    <w:name w:val="page number"/>
    <w:basedOn w:val="DefaultParagraphFont"/>
    <w:qFormat/>
    <w:rPr/>
  </w:style>
  <w:style w:type="character" w:styleId="CabealhoChar">
    <w:name w:val="Cabeçalho Char"/>
    <w:basedOn w:val="DefaultParagraphFont"/>
    <w:qFormat/>
    <w:rPr>
      <w:rFonts w:ascii="Times New Roman" w:hAnsi="Times New Roman" w:eastAsia="Times New Roman" w:cs="Times New Roman"/>
      <w:sz w:val="24"/>
      <w:szCs w:val="20"/>
      <w:lang w:eastAsia="pt-BR"/>
    </w:rPr>
  </w:style>
  <w:style w:type="character" w:styleId="RodapChar">
    <w:name w:val="Rodapé Char"/>
    <w:basedOn w:val="DefaultParagraphFont"/>
    <w:qFormat/>
    <w:rPr>
      <w:rFonts w:ascii="Times New Roman" w:hAnsi="Times New Roman" w:eastAsia="Times New Roman" w:cs="Times New Roman"/>
      <w:sz w:val="24"/>
      <w:szCs w:val="20"/>
      <w:lang w:eastAsia="pt-BR"/>
    </w:rPr>
  </w:style>
  <w:style w:type="character" w:styleId="A6">
    <w:name w:val="A6"/>
    <w:qFormat/>
    <w:rPr>
      <w:color w:val="000000"/>
      <w:sz w:val="18"/>
      <w:u w:val="single"/>
    </w:rPr>
  </w:style>
  <w:style w:type="character" w:styleId="LinkdaInternet">
    <w:name w:val="Hyperlink"/>
    <w:rPr>
      <w:color w:val="000080"/>
      <w:u w:val="single"/>
    </w:rPr>
  </w:style>
  <w:style w:type="character" w:styleId="CorpodetextoChar">
    <w:name w:val="Corpo de texto Char"/>
    <w:basedOn w:val="DefaultParagraphFont"/>
    <w:qFormat/>
    <w:rPr>
      <w:rFonts w:ascii="Times New Roman" w:hAnsi="Times New Roman" w:eastAsia="Times New Roman" w:cs="Times New Roman"/>
      <w:sz w:val="24"/>
      <w:szCs w:val="20"/>
      <w:lang w:eastAsia="pt-BR"/>
    </w:rPr>
  </w:style>
  <w:style w:type="character" w:styleId="CitaoChar">
    <w:name w:val="Citação Char"/>
    <w:basedOn w:val="DefaultParagraphFont"/>
    <w:qFormat/>
    <w:rPr>
      <w:rFonts w:ascii="Arial" w:hAnsi="Arial" w:eastAsia="Calibri" w:cs="Tahoma"/>
      <w:i/>
      <w:iCs/>
      <w:color w:val="000000"/>
      <w:sz w:val="20"/>
      <w:szCs w:val="24"/>
      <w:shd w:fill="FFFFCC" w:val="clear"/>
    </w:rPr>
  </w:style>
  <w:style w:type="character" w:styleId="Nivel1Char">
    <w:name w:val="Nivel1 Char"/>
    <w:basedOn w:val="DefaultParagraphFont"/>
    <w:link w:val="Nivel1"/>
    <w:qFormat/>
    <w:rPr>
      <w:rFonts w:ascii="Arial" w:hAnsi="Arial" w:eastAsia="Calibri" w:cs="Arial"/>
      <w:b/>
      <w:color w:val="000000"/>
      <w:sz w:val="32"/>
      <w:szCs w:val="32"/>
    </w:rPr>
  </w:style>
  <w:style w:type="character" w:styleId="Nivel2Char">
    <w:name w:val="Nivel 2 Char"/>
    <w:basedOn w:val="DefaultParagraphFont"/>
    <w:link w:val="Nivel2"/>
    <w:qFormat/>
    <w:rPr>
      <w:rFonts w:ascii="Arial" w:hAnsi="Arial" w:cs="Arial"/>
      <w:color w:val="000000"/>
    </w:rPr>
  </w:style>
  <w:style w:type="character" w:styleId="Strong">
    <w:name w:val="Strong"/>
    <w:qFormat/>
    <w:rPr>
      <w:b/>
      <w:bCs/>
    </w:rPr>
  </w:style>
  <w:style w:type="character" w:styleId="Ttulo1Char">
    <w:name w:val="Título 1 Char"/>
    <w:basedOn w:val="DefaultParagraphFont"/>
    <w:qFormat/>
    <w:rPr>
      <w:rFonts w:ascii="Cambria" w:hAnsi="Cambria" w:eastAsia="Calibri" w:cs="Tahoma"/>
      <w:b/>
      <w:bCs/>
      <w:color w:val="365F91" w:themeColor="accent1" w:themeShade="bf"/>
      <w:sz w:val="28"/>
      <w:szCs w:val="28"/>
      <w:lang w:eastAsia="pt-BR"/>
    </w:rPr>
  </w:style>
  <w:style w:type="character" w:styleId="Marcadores">
    <w:name w:val="Marcadores"/>
    <w:qFormat/>
    <w:rPr>
      <w:rFonts w:ascii="OpenSymbol" w:hAnsi="OpenSymbol" w:eastAsia="OpenSymbol" w:cs="OpenSymbol"/>
    </w:rPr>
  </w:style>
  <w:style w:type="character" w:styleId="Linkdainternetvisitado">
    <w:name w:val="FollowedHyperlink"/>
    <w:rPr>
      <w:color w:val="800080"/>
      <w:u w:val="single"/>
    </w:rPr>
  </w:style>
  <w:style w:type="character" w:styleId="WW8Num9z0">
    <w:name w:val="WW8Num9z0"/>
    <w:qFormat/>
    <w:rPr>
      <w:b/>
      <w:bCs/>
    </w:rPr>
  </w:style>
  <w:style w:type="character" w:styleId="WW8Num10z0">
    <w:name w:val="WW8Num10z0"/>
    <w:qFormat/>
    <w:rPr>
      <w:b/>
      <w:bCs/>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link w:val="CorpodetextoChar"/>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Ttulododocumento">
    <w:name w:val="Title"/>
    <w:basedOn w:val="Normal"/>
    <w:next w:val="Corpodotexto"/>
    <w:qFormat/>
    <w:pPr>
      <w:keepNext w:val="true"/>
      <w:spacing w:before="240" w:after="120"/>
    </w:pPr>
    <w:rPr>
      <w:rFonts w:ascii="Liberation Sans" w:hAnsi="Liberation Sans" w:eastAsia="Microsoft YaHei" w:cs="Lucida Sans"/>
      <w:sz w:val="28"/>
      <w:szCs w:val="28"/>
    </w:rPr>
  </w:style>
  <w:style w:type="paragraph" w:styleId="Caption1">
    <w:name w:val="caption1"/>
    <w:basedOn w:val="Normal"/>
    <w:qFormat/>
    <w:pPr>
      <w:suppressLineNumbers/>
      <w:spacing w:before="120" w:after="120"/>
    </w:pPr>
    <w:rPr>
      <w:rFonts w:cs="Lucida Sans"/>
      <w:i/>
      <w:iCs/>
      <w:szCs w:val="24"/>
    </w:rPr>
  </w:style>
  <w:style w:type="paragraph" w:styleId="CabealhoeRodap">
    <w:name w:val="Cabeçalho e Rodapé"/>
    <w:basedOn w:val="Normal"/>
    <w:qFormat/>
    <w:pPr/>
    <w:rPr/>
  </w:style>
  <w:style w:type="paragraph" w:styleId="Cabealho">
    <w:name w:val="Header"/>
    <w:basedOn w:val="Normal"/>
    <w:link w:val="CabealhoChar"/>
    <w:pPr>
      <w:tabs>
        <w:tab w:val="clear" w:pos="708"/>
        <w:tab w:val="center" w:pos="4419" w:leader="none"/>
        <w:tab w:val="right" w:pos="8838" w:leader="none"/>
      </w:tabs>
    </w:pPr>
    <w:rPr/>
  </w:style>
  <w:style w:type="paragraph" w:styleId="Rodap">
    <w:name w:val="Footer"/>
    <w:basedOn w:val="Normal"/>
    <w:link w:val="RodapChar"/>
    <w:pPr>
      <w:tabs>
        <w:tab w:val="clear" w:pos="708"/>
        <w:tab w:val="center" w:pos="4419" w:leader="none"/>
        <w:tab w:val="right" w:pos="8838" w:leader="none"/>
      </w:tabs>
    </w:pPr>
    <w:rPr/>
  </w:style>
  <w:style w:type="paragraph" w:styleId="ListParagraph">
    <w:name w:val="List Paragraph"/>
    <w:basedOn w:val="Normal"/>
    <w:qFormat/>
    <w:pPr>
      <w:spacing w:before="0" w:after="0"/>
      <w:ind w:left="720" w:hanging="0"/>
      <w:contextualSpacing/>
    </w:pPr>
    <w:rPr/>
  </w:style>
  <w:style w:type="paragraph" w:styleId="Tabelanormal1">
    <w:name w:val="Tabela normal1"/>
    <w:qFormat/>
    <w:pPr>
      <w:widowControl/>
      <w:suppressAutoHyphens w:val="true"/>
      <w:overflowPunct w:val="false"/>
      <w:bidi w:val="0"/>
      <w:spacing w:lineRule="auto" w:line="276" w:before="0" w:after="200"/>
      <w:jc w:val="left"/>
    </w:pPr>
    <w:rPr>
      <w:rFonts w:ascii="Times New Roman" w:hAnsi="Times New Roman" w:eastAsia="Tahoma" w:cs="Times New Roman"/>
      <w:color w:val="auto"/>
      <w:kern w:val="0"/>
      <w:sz w:val="20"/>
      <w:szCs w:val="20"/>
      <w:lang w:val="pt-BR" w:eastAsia="pt-BR" w:bidi="ar-SA"/>
    </w:rPr>
  </w:style>
  <w:style w:type="paragraph" w:styleId="Quote">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fill="FFFFCC"/>
      <w:suppressAutoHyphens w:val="false"/>
      <w:spacing w:before="120" w:after="0"/>
      <w:jc w:val="both"/>
    </w:pPr>
    <w:rPr>
      <w:rFonts w:ascii="Arial" w:hAnsi="Arial" w:eastAsia="Calibri" w:cs="Tahoma"/>
      <w:i/>
      <w:iCs/>
      <w:color w:val="000000"/>
      <w:sz w:val="20"/>
      <w:szCs w:val="24"/>
      <w:lang w:eastAsia="en-US"/>
    </w:rPr>
  </w:style>
  <w:style w:type="paragraph" w:styleId="Nivel1">
    <w:name w:val="Nivel1"/>
    <w:basedOn w:val="Ttulo1"/>
    <w:next w:val="Normal"/>
    <w:link w:val="Nivel1Char"/>
    <w:qFormat/>
    <w:pPr>
      <w:suppressAutoHyphens w:val="false"/>
      <w:spacing w:lineRule="auto" w:line="276" w:before="480" w:after="120"/>
      <w:jc w:val="both"/>
      <w:outlineLvl w:val="9"/>
    </w:pPr>
    <w:rPr>
      <w:rFonts w:ascii="Arial" w:hAnsi="Arial" w:cs="Arial"/>
      <w:bCs w:val="false"/>
      <w:color w:val="000000" w:themeColor="accent1" w:themeShade="bf"/>
      <w:sz w:val="32"/>
      <w:szCs w:val="32"/>
      <w:lang w:eastAsia="en-US"/>
    </w:rPr>
  </w:style>
  <w:style w:type="paragraph" w:styleId="Standard">
    <w:name w:val="Standard"/>
    <w:qFormat/>
    <w:pPr>
      <w:widowControl/>
      <w:suppressAutoHyphens w:val="true"/>
      <w:overflowPunct w:val="fals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Citao2">
    <w:name w:val="citação 2"/>
    <w:basedOn w:val="Quote"/>
    <w:qFormat/>
    <w:pPr>
      <w:suppressAutoHyphens w:val="true"/>
    </w:pPr>
    <w:rPr>
      <w:kern w:val="2"/>
      <w:szCs w:val="20"/>
      <w:lang w:eastAsia="zh-CN" w:bidi="hi-IN"/>
    </w:rPr>
  </w:style>
  <w:style w:type="paragraph" w:styleId="Nivel2">
    <w:name w:val="Nivel 2"/>
    <w:basedOn w:val="Normal"/>
    <w:link w:val="Nivel2Char"/>
    <w:qFormat/>
    <w:pPr>
      <w:suppressAutoHyphens w:val="false"/>
      <w:spacing w:lineRule="auto" w:line="276" w:before="120" w:after="120"/>
      <w:jc w:val="both"/>
    </w:pPr>
    <w:rPr>
      <w:rFonts w:ascii="Arial" w:hAnsi="Arial" w:eastAsia="Calibri" w:cs="Arial"/>
      <w:color w:val="000000"/>
      <w:sz w:val="22"/>
      <w:szCs w:val="22"/>
      <w:lang w:eastAsia="en-US"/>
    </w:rPr>
  </w:style>
  <w:style w:type="paragraph" w:styleId="Nivel3">
    <w:name w:val="Nivel 3"/>
    <w:basedOn w:val="ListParagraph"/>
    <w:qFormat/>
    <w:pPr>
      <w:tabs>
        <w:tab w:val="clear" w:pos="708"/>
        <w:tab w:val="left" w:pos="360" w:leader="none"/>
      </w:tabs>
      <w:suppressAutoHyphens w:val="false"/>
      <w:spacing w:lineRule="auto" w:line="276" w:before="120" w:after="120"/>
      <w:ind w:left="425" w:hanging="0"/>
      <w:contextualSpacing/>
      <w:jc w:val="both"/>
    </w:pPr>
    <w:rPr>
      <w:rFonts w:ascii="Arial" w:hAnsi="Arial" w:cs="Arial"/>
      <w:sz w:val="20"/>
    </w:rPr>
  </w:style>
  <w:style w:type="paragraph" w:styleId="TableParagraph">
    <w:name w:val="Table Paragraph"/>
    <w:basedOn w:val="Normal"/>
    <w:qFormat/>
    <w:pPr>
      <w:widowControl w:val="false"/>
      <w:suppressAutoHyphens w:val="false"/>
    </w:pPr>
    <w:rPr>
      <w:rFonts w:ascii="Calibri" w:hAnsi="Calibri" w:eastAsia="Calibri" w:cs="Calibri"/>
      <w:sz w:val="22"/>
      <w:szCs w:val="22"/>
      <w:lang w:val="pt-PT" w:eastAsia="en-US"/>
    </w:rPr>
  </w:style>
  <w:style w:type="paragraph" w:styleId="PADRO">
    <w:name w:val="PADRÃO"/>
    <w:qFormat/>
    <w:pPr>
      <w:keepNext w:val="true"/>
      <w:widowControl w:val="false"/>
      <w:shd w:val="clear" w:fill="FFFFFF"/>
      <w:suppressAutoHyphens w:val="true"/>
      <w:overflowPunct w:val="fals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ontedodatabela">
    <w:name w:val="Conteúdo da tabela"/>
    <w:basedOn w:val="Normal"/>
    <w:qFormat/>
    <w:pPr/>
    <w:rPr/>
  </w:style>
  <w:style w:type="paragraph" w:styleId="PargrafodaLista">
    <w:name w:val="Parágrafo da Lista"/>
    <w:basedOn w:val="Normal"/>
    <w:qFormat/>
    <w:pPr>
      <w:spacing w:lineRule="auto" w:line="276" w:before="0" w:after="200"/>
      <w:ind w:left="720" w:hanging="0"/>
      <w:contextualSpacing/>
    </w:pPr>
    <w:rPr>
      <w:rFonts w:ascii="Calibri" w:hAnsi="Calibri" w:eastAsia="Calibri" w:cs="Calibri"/>
      <w:sz w:val="22"/>
      <w:szCs w:val="22"/>
    </w:rPr>
  </w:style>
  <w:style w:type="paragraph" w:styleId="Default">
    <w:name w:val="Default"/>
    <w:qFormat/>
    <w:pPr>
      <w:widowControl/>
      <w:suppressAutoHyphens w:val="true"/>
      <w:overflowPunct w:val="fals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Ttulodetabela">
    <w:name w:val="Título de tabela"/>
    <w:basedOn w:val="Contedodatabela"/>
    <w:qFormat/>
    <w:pPr>
      <w:suppressLineNumbers/>
      <w:jc w:val="center"/>
    </w:pPr>
    <w:rPr>
      <w:b/>
      <w:bCs/>
    </w:rPr>
  </w:style>
  <w:style w:type="paragraph" w:styleId="Nivel01">
    <w:name w:val="Nivel 01"/>
    <w:basedOn w:val="Ttulo1"/>
    <w:qFormat/>
    <w:pPr>
      <w:keepNext w:val="true"/>
      <w:keepLines/>
      <w:tabs>
        <w:tab w:val="clear" w:pos="708"/>
        <w:tab w:val="left" w:pos="567" w:leader="none"/>
      </w:tabs>
      <w:spacing w:before="240" w:after="0"/>
      <w:jc w:val="both"/>
      <w:outlineLvl w:val="9"/>
    </w:pPr>
    <w:rPr>
      <w:rFonts w:ascii="Ecofont_Spranq_eco_Sans" w:hAnsi="Ecofont_Spranq_eco_Sans" w:eastAsia="ＭＳ ゴシック" w:cs="Times New Roman"/>
      <w:b/>
      <w:bCs/>
      <w:color w:val="000000" w:themeColor="accent1" w:themeShade="bf"/>
      <w:sz w:val="20"/>
      <w:szCs w:val="20"/>
    </w:rPr>
  </w:style>
  <w:style w:type="paragraph" w:styleId="Caption2">
    <w:name w:val="caption2"/>
    <w:basedOn w:val="Normal"/>
    <w:qFormat/>
    <w:pPr>
      <w:suppressLineNumbers/>
      <w:spacing w:before="120" w:after="120"/>
    </w:pPr>
    <w:rPr>
      <w:rFonts w:cs="Lucida Sans"/>
      <w:i/>
      <w:iCs/>
      <w:szCs w:val="24"/>
    </w:rPr>
  </w:style>
  <w:style w:type="paragraph" w:styleId="Caption3">
    <w:name w:val="caption3"/>
    <w:basedOn w:val="Normal"/>
    <w:qFormat/>
    <w:pPr>
      <w:suppressLineNumbers/>
      <w:spacing w:before="120" w:after="120"/>
    </w:pPr>
    <w:rPr>
      <w:rFonts w:cs="Lucida Sans"/>
      <w:i/>
      <w:iCs/>
      <w:szCs w:val="24"/>
    </w:rPr>
  </w:style>
  <w:style w:type="paragraph" w:styleId="NormalWeb">
    <w:name w:val="Normal (Web)"/>
    <w:basedOn w:val="Normal"/>
    <w:qFormat/>
    <w:pPr>
      <w:spacing w:before="280" w:after="280"/>
    </w:pPr>
    <w:rPr>
      <w:sz w:val="24"/>
      <w:szCs w:val="24"/>
    </w:rPr>
  </w:style>
  <w:style w:type="paragraph" w:styleId="Normal1">
    <w:name w:val="normal1"/>
    <w:qFormat/>
    <w:pPr>
      <w:widowControl/>
      <w:suppressAutoHyphens w:val="true"/>
      <w:bidi w:val="0"/>
      <w:spacing w:before="0" w:after="0"/>
      <w:jc w:val="left"/>
    </w:pPr>
    <w:rPr>
      <w:rFonts w:ascii="Calibri" w:hAnsi="Calibri" w:eastAsia="Calibri" w:cs="Tahoma"/>
      <w:color w:val="auto"/>
      <w:kern w:val="0"/>
      <w:sz w:val="22"/>
      <w:szCs w:val="22"/>
      <w:lang w:val="pt-BR" w:eastAsia="en-US" w:bidi="ar-SA"/>
    </w:rPr>
  </w:style>
  <w:style w:type="numbering" w:styleId="NoList">
    <w:name w:val="No List"/>
    <w:qFormat/>
  </w:style>
  <w:style w:type="numbering" w:styleId="WW8Num10">
    <w:name w:val="WW8Num10"/>
    <w:qFormat/>
  </w:style>
  <w:style w:type="numbering" w:styleId="WW8Num9">
    <w:name w:val="WW8Num9"/>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internet.sefaz.es.gov.br/" TargetMode="External"/><Relationship Id="rId3" Type="http://schemas.openxmlformats.org/officeDocument/2006/relationships/hyperlink" Target="http://www.tst.jus.br/"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 TargetMode="External"/><Relationship Id="rId7" Type="http://schemas.openxmlformats.org/officeDocument/2006/relationships/hyperlink" Target="https://certidoesapf.apps.tcu.gov.br/" TargetMode="External"/><Relationship Id="rId8" Type="http://schemas.openxmlformats.org/officeDocument/2006/relationships/hyperlink" Target="http://www.portaldoempreendedor.gov.br/" TargetMode="External"/><Relationship Id="rId9" Type="http://schemas.openxmlformats.org/officeDocument/2006/relationships/hyperlink" Target="https://www.planalto.gov.br/ccivil_03/leis/lcp/lcp123.htm" TargetMode="External"/><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821</TotalTime>
  <Application>LibreOffice/7.5.7.1$Windows_X86_64 LibreOffice_project/47eb0cf7efbacdee9b19ae25d6752381ede23126</Application>
  <AppVersion>15.0000</AppVersion>
  <Pages>11</Pages>
  <Words>4556</Words>
  <Characters>26657</Characters>
  <CharactersWithSpaces>31047</CharactersWithSpaces>
  <Paragraphs>218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Ruth Barbara da Silwa Nascimento</dc:creator>
  <dc:description/>
  <dc:language>pt-BR</dc:language>
  <cp:lastModifiedBy/>
  <cp:lastPrinted>2025-05-06T15:18:05Z</cp:lastPrinted>
  <dcterms:modified xsi:type="dcterms:W3CDTF">2025-05-06T15:18:13Z</dcterms:modified>
  <cp:revision>136</cp:revision>
  <dc:subject/>
  <dc:title/>
</cp:coreProperties>
</file>

<file path=docProps/custom.xml><?xml version="1.0" encoding="utf-8"?>
<Properties xmlns="http://schemas.openxmlformats.org/officeDocument/2006/custom-properties" xmlns:vt="http://schemas.openxmlformats.org/officeDocument/2006/docPropsVTypes"/>
</file>